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0" w:type="auto"/>
        <w:tblInd w:w="3510" w:type="dxa"/>
        <w:tblLook w:val="04A0"/>
      </w:tblPr>
      <w:tblGrid>
        <w:gridCol w:w="5184"/>
      </w:tblGrid>
      <w:tr w:rsidR="00A02016" w:rsidRPr="005C79A3"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5C79A3" w:rsidRDefault="00547C44" w:rsidP="00B91518">
            <w:pPr>
              <w:ind w:left="-108"/>
              <w:rPr>
                <w:rFonts w:ascii="Arial" w:hAnsi="Arial" w:cs="Arial"/>
                <w:color w:val="7F7F7F" w:themeColor="text1" w:themeTint="80"/>
                <w:szCs w:val="26"/>
                <w:lang w:val="es-MX"/>
              </w:rPr>
            </w:pPr>
            <w:r w:rsidRPr="005C79A3">
              <w:rPr>
                <w:rFonts w:ascii="Arial" w:hAnsi="Arial" w:cs="Arial"/>
                <w:b/>
                <w:color w:val="7F7F7F" w:themeColor="text1" w:themeTint="80"/>
                <w:szCs w:val="26"/>
                <w:lang w:val="es-MX"/>
              </w:rPr>
              <w:t xml:space="preserve">RECURSO DE REVISIÓN: </w:t>
            </w:r>
            <w:r w:rsidR="005D0351" w:rsidRPr="005C79A3">
              <w:rPr>
                <w:rFonts w:ascii="Arial" w:hAnsi="Arial" w:cs="Arial"/>
                <w:color w:val="7F7F7F" w:themeColor="text1" w:themeTint="80"/>
                <w:szCs w:val="26"/>
                <w:lang w:val="es-MX"/>
              </w:rPr>
              <w:t>RR-108</w:t>
            </w:r>
            <w:r w:rsidR="007C6DA0" w:rsidRPr="005C79A3">
              <w:rPr>
                <w:rFonts w:ascii="Arial" w:hAnsi="Arial" w:cs="Arial"/>
                <w:color w:val="7F7F7F" w:themeColor="text1" w:themeTint="80"/>
                <w:szCs w:val="26"/>
                <w:lang w:val="es-MX"/>
              </w:rPr>
              <w:t>/2018</w:t>
            </w:r>
            <w:r w:rsidRPr="005C79A3">
              <w:rPr>
                <w:rFonts w:ascii="Arial" w:hAnsi="Arial" w:cs="Arial"/>
                <w:color w:val="7F7F7F" w:themeColor="text1" w:themeTint="80"/>
                <w:szCs w:val="26"/>
                <w:lang w:val="es-MX"/>
              </w:rPr>
              <w:t>-3</w:t>
            </w:r>
          </w:p>
        </w:tc>
      </w:tr>
      <w:tr w:rsidR="00A02016" w:rsidRPr="005C79A3"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5C79A3" w:rsidRDefault="00547C44" w:rsidP="005D0351">
            <w:pPr>
              <w:ind w:left="-108"/>
              <w:rPr>
                <w:rFonts w:ascii="Arial" w:hAnsi="Arial" w:cs="Arial"/>
                <w:color w:val="7F7F7F" w:themeColor="text1" w:themeTint="80"/>
                <w:szCs w:val="26"/>
                <w:lang w:val="es-MX"/>
              </w:rPr>
            </w:pPr>
            <w:r w:rsidRPr="005C79A3">
              <w:rPr>
                <w:rFonts w:ascii="Arial" w:hAnsi="Arial" w:cs="Arial"/>
                <w:b/>
                <w:color w:val="7F7F7F" w:themeColor="text1" w:themeTint="80"/>
                <w:szCs w:val="26"/>
                <w:lang w:val="es-MX"/>
              </w:rPr>
              <w:t>ENTE OBLIGADO:</w:t>
            </w:r>
            <w:r w:rsidRPr="005C79A3">
              <w:rPr>
                <w:rFonts w:ascii="Arial" w:hAnsi="Arial" w:cs="Arial"/>
                <w:color w:val="7F7F7F" w:themeColor="text1" w:themeTint="80"/>
                <w:szCs w:val="26"/>
                <w:lang w:val="es-MX"/>
              </w:rPr>
              <w:t xml:space="preserve"> </w:t>
            </w:r>
            <w:r w:rsidR="005D0351" w:rsidRPr="005C79A3">
              <w:rPr>
                <w:rFonts w:ascii="Arial" w:hAnsi="Arial" w:cs="Arial"/>
                <w:color w:val="7F7F7F" w:themeColor="text1" w:themeTint="80"/>
                <w:szCs w:val="26"/>
                <w:lang w:val="es-MX"/>
              </w:rPr>
              <w:t>SECRETARÍA DE EDUCACIÓN DE GOBIERNO DEL ESTADO.</w:t>
            </w:r>
          </w:p>
        </w:tc>
      </w:tr>
      <w:tr w:rsidR="00547C44" w:rsidRPr="005C79A3" w:rsidTr="00C63190">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47C44" w:rsidRPr="005C79A3" w:rsidRDefault="00547C44" w:rsidP="00B91518">
            <w:pPr>
              <w:ind w:left="-108"/>
              <w:rPr>
                <w:rFonts w:ascii="Arial" w:hAnsi="Arial" w:cs="Arial"/>
                <w:color w:val="7F7F7F" w:themeColor="text1" w:themeTint="80"/>
                <w:szCs w:val="26"/>
                <w:lang w:val="es-MX"/>
              </w:rPr>
            </w:pPr>
            <w:r w:rsidRPr="005C79A3">
              <w:rPr>
                <w:rFonts w:ascii="Arial" w:hAnsi="Arial" w:cs="Arial"/>
                <w:b/>
                <w:color w:val="7F7F7F" w:themeColor="text1" w:themeTint="80"/>
                <w:szCs w:val="26"/>
                <w:lang w:val="es-MX"/>
              </w:rPr>
              <w:t xml:space="preserve">COMISIONADO PONENTE: </w:t>
            </w:r>
            <w:r w:rsidRPr="005C79A3">
              <w:rPr>
                <w:rFonts w:ascii="Arial" w:hAnsi="Arial" w:cs="Arial"/>
                <w:color w:val="7F7F7F" w:themeColor="text1" w:themeTint="80"/>
                <w:szCs w:val="26"/>
                <w:lang w:val="es-MX"/>
              </w:rPr>
              <w:t>CLAUDIA ELIZABETH ÁVALOS CEDILLO</w:t>
            </w:r>
          </w:p>
        </w:tc>
      </w:tr>
    </w:tbl>
    <w:p w:rsidR="00547C44" w:rsidRPr="005C79A3" w:rsidRDefault="00547C44" w:rsidP="00B91518">
      <w:pPr>
        <w:rPr>
          <w:rFonts w:ascii="Arial" w:hAnsi="Arial" w:cs="Arial"/>
          <w:b/>
          <w:color w:val="7F7F7F" w:themeColor="text1" w:themeTint="80"/>
          <w:szCs w:val="26"/>
          <w:lang w:val="es-MX"/>
        </w:rPr>
      </w:pPr>
    </w:p>
    <w:p w:rsidR="004602D7" w:rsidRPr="005C79A3" w:rsidRDefault="004602D7" w:rsidP="00B91518">
      <w:pPr>
        <w:rPr>
          <w:rFonts w:ascii="Arial" w:hAnsi="Arial" w:cs="Arial"/>
          <w:b/>
          <w:color w:val="7F7F7F" w:themeColor="text1" w:themeTint="80"/>
          <w:szCs w:val="26"/>
          <w:lang w:val="es-MX"/>
        </w:rPr>
      </w:pPr>
    </w:p>
    <w:p w:rsidR="00547C44" w:rsidRPr="005C79A3" w:rsidRDefault="00547C44" w:rsidP="00B91518">
      <w:pPr>
        <w:pStyle w:val="Textoindependienteprimerasangra"/>
        <w:spacing w:after="0"/>
        <w:ind w:firstLine="0"/>
        <w:rPr>
          <w:rFonts w:ascii="Arial" w:eastAsia="Arial Unicode MS" w:hAnsi="Arial" w:cs="Arial"/>
          <w:color w:val="7F7F7F" w:themeColor="text1" w:themeTint="80"/>
          <w:szCs w:val="26"/>
          <w:lang w:val="es-MX"/>
        </w:rPr>
      </w:pPr>
      <w:r w:rsidRPr="005C79A3">
        <w:rPr>
          <w:rFonts w:ascii="Arial" w:hAnsi="Arial" w:cs="Arial"/>
          <w:b/>
          <w:color w:val="7F7F7F" w:themeColor="text1" w:themeTint="80"/>
          <w:szCs w:val="26"/>
          <w:lang w:val="es-MX"/>
        </w:rPr>
        <w:tab/>
      </w:r>
      <w:r w:rsidRPr="005C79A3">
        <w:rPr>
          <w:rFonts w:ascii="Arial" w:eastAsia="Arial Unicode MS" w:hAnsi="Arial" w:cs="Arial"/>
          <w:color w:val="7F7F7F" w:themeColor="text1" w:themeTint="80"/>
          <w:szCs w:val="26"/>
          <w:lang w:val="es-MX"/>
        </w:rPr>
        <w:t xml:space="preserve">San Luis Potosí, San Luis Potosí, </w:t>
      </w:r>
      <w:r w:rsidR="00541591" w:rsidRPr="005C79A3">
        <w:rPr>
          <w:rFonts w:ascii="Arial" w:eastAsia="Arial Unicode MS" w:hAnsi="Arial" w:cs="Arial"/>
          <w:color w:val="7F7F7F" w:themeColor="text1" w:themeTint="80"/>
          <w:szCs w:val="26"/>
          <w:lang w:val="es-MX"/>
        </w:rPr>
        <w:t>once de abril de</w:t>
      </w:r>
      <w:r w:rsidR="007C6DA0" w:rsidRPr="005C79A3">
        <w:rPr>
          <w:rFonts w:ascii="Arial" w:eastAsia="Arial Unicode MS" w:hAnsi="Arial" w:cs="Arial"/>
          <w:color w:val="7F7F7F" w:themeColor="text1" w:themeTint="80"/>
          <w:szCs w:val="26"/>
          <w:lang w:val="es-MX"/>
        </w:rPr>
        <w:t xml:space="preserve"> dos mil dieciocho</w:t>
      </w:r>
      <w:r w:rsidRPr="005C79A3">
        <w:rPr>
          <w:rFonts w:ascii="Arial" w:eastAsia="Arial Unicode MS" w:hAnsi="Arial" w:cs="Arial"/>
          <w:color w:val="7F7F7F" w:themeColor="text1" w:themeTint="80"/>
          <w:szCs w:val="26"/>
          <w:lang w:val="es-MX"/>
        </w:rPr>
        <w:t>.</w:t>
      </w:r>
    </w:p>
    <w:p w:rsidR="000214B4" w:rsidRPr="005C79A3" w:rsidRDefault="004001C3" w:rsidP="00B91518">
      <w:pPr>
        <w:pStyle w:val="Textoindependienteprimerasangra"/>
        <w:spacing w:before="240"/>
        <w:ind w:firstLine="900"/>
        <w:rPr>
          <w:rFonts w:ascii="Arial" w:eastAsia="Arial Unicode MS" w:hAnsi="Arial" w:cs="Arial"/>
          <w:b/>
          <w:color w:val="7F7F7F" w:themeColor="text1" w:themeTint="80"/>
          <w:szCs w:val="26"/>
          <w:lang w:val="es-MX"/>
        </w:rPr>
      </w:pPr>
      <w:r w:rsidRPr="005C79A3">
        <w:rPr>
          <w:rFonts w:ascii="Arial" w:eastAsia="Arial Unicode MS" w:hAnsi="Arial" w:cs="Arial"/>
          <w:b/>
          <w:color w:val="7F7F7F" w:themeColor="text1" w:themeTint="80"/>
          <w:szCs w:val="26"/>
          <w:lang w:val="es-MX"/>
        </w:rPr>
        <w:t>V</w:t>
      </w:r>
      <w:r w:rsidR="00547C44" w:rsidRPr="005C79A3">
        <w:rPr>
          <w:rFonts w:ascii="Arial" w:eastAsia="Arial Unicode MS" w:hAnsi="Arial" w:cs="Arial"/>
          <w:b/>
          <w:color w:val="7F7F7F" w:themeColor="text1" w:themeTint="80"/>
          <w:szCs w:val="26"/>
          <w:lang w:val="es-MX"/>
        </w:rPr>
        <w:t>ISTO</w:t>
      </w:r>
      <w:r w:rsidR="00547C44" w:rsidRPr="005C79A3">
        <w:rPr>
          <w:rFonts w:ascii="Arial" w:eastAsia="Arial Unicode MS" w:hAnsi="Arial" w:cs="Arial"/>
          <w:color w:val="7F7F7F" w:themeColor="text1" w:themeTint="80"/>
          <w:szCs w:val="26"/>
          <w:lang w:val="es-MX"/>
        </w:rPr>
        <w:t xml:space="preserve"> para resolver los autos que conforman el expediente </w:t>
      </w:r>
      <w:r w:rsidR="005D0351" w:rsidRPr="005C79A3">
        <w:rPr>
          <w:rFonts w:ascii="Arial" w:hAnsi="Arial" w:cs="Arial"/>
          <w:b/>
          <w:color w:val="7F7F7F" w:themeColor="text1" w:themeTint="80"/>
          <w:szCs w:val="26"/>
          <w:lang w:val="es-MX"/>
        </w:rPr>
        <w:t>108</w:t>
      </w:r>
      <w:r w:rsidR="007C6DA0" w:rsidRPr="005C79A3">
        <w:rPr>
          <w:rFonts w:ascii="Arial" w:hAnsi="Arial" w:cs="Arial"/>
          <w:b/>
          <w:color w:val="7F7F7F" w:themeColor="text1" w:themeTint="80"/>
          <w:szCs w:val="26"/>
          <w:lang w:val="es-MX"/>
        </w:rPr>
        <w:t>/2018</w:t>
      </w:r>
      <w:r w:rsidR="00547C44" w:rsidRPr="005C79A3">
        <w:rPr>
          <w:rFonts w:ascii="Arial" w:hAnsi="Arial" w:cs="Arial"/>
          <w:b/>
          <w:color w:val="7F7F7F" w:themeColor="text1" w:themeTint="80"/>
          <w:szCs w:val="26"/>
          <w:lang w:val="es-MX"/>
        </w:rPr>
        <w:t xml:space="preserve">-3 </w:t>
      </w:r>
      <w:r w:rsidR="00C3070D" w:rsidRPr="005C79A3">
        <w:rPr>
          <w:rFonts w:ascii="Arial" w:eastAsia="Arial Unicode MS" w:hAnsi="Arial" w:cs="Arial"/>
          <w:color w:val="7F7F7F" w:themeColor="text1" w:themeTint="80"/>
          <w:szCs w:val="26"/>
          <w:lang w:val="es-MX"/>
        </w:rPr>
        <w:t>del índice de esta C</w:t>
      </w:r>
      <w:r w:rsidR="00547C44" w:rsidRPr="005C79A3">
        <w:rPr>
          <w:rFonts w:ascii="Arial" w:eastAsia="Arial Unicode MS" w:hAnsi="Arial" w:cs="Arial"/>
          <w:color w:val="7F7F7F" w:themeColor="text1" w:themeTint="80"/>
          <w:szCs w:val="26"/>
          <w:lang w:val="es-MX"/>
        </w:rPr>
        <w:t xml:space="preserve">omisión, relativo al </w:t>
      </w:r>
      <w:r w:rsidR="00F1470A" w:rsidRPr="005C79A3">
        <w:rPr>
          <w:rFonts w:ascii="Arial" w:eastAsia="Arial Unicode MS" w:hAnsi="Arial" w:cs="Arial"/>
          <w:b/>
          <w:color w:val="7F7F7F" w:themeColor="text1" w:themeTint="80"/>
          <w:szCs w:val="26"/>
          <w:lang w:val="es-MX"/>
        </w:rPr>
        <w:t>Recurso de R</w:t>
      </w:r>
      <w:r w:rsidR="00547C44" w:rsidRPr="005C79A3">
        <w:rPr>
          <w:rFonts w:ascii="Arial" w:eastAsia="Arial Unicode MS" w:hAnsi="Arial" w:cs="Arial"/>
          <w:b/>
          <w:color w:val="7F7F7F" w:themeColor="text1" w:themeTint="80"/>
          <w:szCs w:val="26"/>
          <w:lang w:val="es-MX"/>
        </w:rPr>
        <w:t>evisión</w:t>
      </w:r>
      <w:r w:rsidR="00547C44" w:rsidRPr="005C79A3">
        <w:rPr>
          <w:rFonts w:ascii="Arial" w:eastAsia="Arial Unicode MS" w:hAnsi="Arial" w:cs="Arial"/>
          <w:color w:val="7F7F7F" w:themeColor="text1" w:themeTint="80"/>
          <w:szCs w:val="26"/>
          <w:lang w:val="es-MX"/>
        </w:rPr>
        <w:t xml:space="preserve">, </w:t>
      </w:r>
      <w:r w:rsidRPr="005C79A3">
        <w:rPr>
          <w:rFonts w:ascii="Arial" w:eastAsia="Arial Unicode MS" w:hAnsi="Arial" w:cs="Arial"/>
          <w:color w:val="7F7F7F" w:themeColor="text1" w:themeTint="80"/>
          <w:szCs w:val="26"/>
          <w:lang w:val="es-MX"/>
        </w:rPr>
        <w:t xml:space="preserve">interpuesto contra la respuesta emitida </w:t>
      </w:r>
      <w:r w:rsidR="00C02CBF" w:rsidRPr="005C79A3">
        <w:rPr>
          <w:rFonts w:ascii="Arial" w:eastAsia="Arial Unicode MS" w:hAnsi="Arial" w:cs="Arial"/>
          <w:color w:val="7F7F7F" w:themeColor="text1" w:themeTint="80"/>
          <w:szCs w:val="26"/>
          <w:lang w:val="es-MX"/>
        </w:rPr>
        <w:t>por</w:t>
      </w:r>
      <w:r w:rsidR="00095AB3" w:rsidRPr="005C79A3">
        <w:rPr>
          <w:rFonts w:ascii="Arial" w:eastAsia="Arial Unicode MS" w:hAnsi="Arial" w:cs="Arial"/>
          <w:color w:val="7F7F7F" w:themeColor="text1" w:themeTint="80"/>
          <w:szCs w:val="26"/>
          <w:lang w:val="es-MX"/>
        </w:rPr>
        <w:t xml:space="preserve"> </w:t>
      </w:r>
      <w:r w:rsidR="00541591" w:rsidRPr="005C79A3">
        <w:rPr>
          <w:rFonts w:ascii="Arial" w:eastAsia="Arial Unicode MS" w:hAnsi="Arial" w:cs="Arial"/>
          <w:color w:val="7F7F7F" w:themeColor="text1" w:themeTint="80"/>
          <w:szCs w:val="26"/>
          <w:lang w:val="es-MX"/>
        </w:rPr>
        <w:t xml:space="preserve">el </w:t>
      </w:r>
      <w:r w:rsidR="005D0351" w:rsidRPr="005C79A3">
        <w:rPr>
          <w:rFonts w:ascii="Arial" w:eastAsia="Arial Unicode MS" w:hAnsi="Arial" w:cs="Arial"/>
          <w:b/>
          <w:color w:val="7F7F7F" w:themeColor="text1" w:themeTint="80"/>
          <w:szCs w:val="26"/>
          <w:lang w:val="es-MX"/>
        </w:rPr>
        <w:t>SECRETARÍA DE EDUCACIÓN DE GOBIERNO DEL ESTADO</w:t>
      </w:r>
      <w:r w:rsidR="007C6DA0" w:rsidRPr="005C79A3">
        <w:rPr>
          <w:rFonts w:ascii="Arial" w:eastAsia="Arial Unicode MS" w:hAnsi="Arial" w:cs="Arial"/>
          <w:b/>
          <w:color w:val="7F7F7F" w:themeColor="text1" w:themeTint="80"/>
          <w:szCs w:val="26"/>
          <w:lang w:val="es-MX"/>
        </w:rPr>
        <w:t xml:space="preserve">, </w:t>
      </w:r>
      <w:r w:rsidR="00F32508" w:rsidRPr="005C79A3">
        <w:rPr>
          <w:rFonts w:ascii="Arial" w:eastAsia="Arial Unicode MS" w:hAnsi="Arial" w:cs="Arial"/>
          <w:color w:val="7F7F7F" w:themeColor="text1" w:themeTint="80"/>
          <w:szCs w:val="26"/>
          <w:lang w:val="es-MX"/>
        </w:rPr>
        <w:t>teniendo en consideración los siguientes:</w:t>
      </w:r>
      <w:r w:rsidR="00F1470A" w:rsidRPr="005C79A3">
        <w:rPr>
          <w:rFonts w:ascii="Arial" w:eastAsia="Arial Unicode MS" w:hAnsi="Arial" w:cs="Arial"/>
          <w:b/>
          <w:color w:val="7F7F7F" w:themeColor="text1" w:themeTint="80"/>
          <w:szCs w:val="26"/>
          <w:lang w:val="es-MX"/>
        </w:rPr>
        <w:t xml:space="preserve">  </w:t>
      </w:r>
    </w:p>
    <w:p w:rsidR="00547C44" w:rsidRPr="005C79A3" w:rsidRDefault="00547C44" w:rsidP="00B91518">
      <w:pPr>
        <w:pStyle w:val="Textoindependienteprimerasangra"/>
        <w:spacing w:before="240"/>
        <w:ind w:firstLine="900"/>
        <w:jc w:val="center"/>
        <w:rPr>
          <w:rFonts w:ascii="Arial" w:eastAsia="Arial Unicode MS" w:hAnsi="Arial" w:cs="Arial"/>
          <w:b/>
          <w:color w:val="7F7F7F" w:themeColor="text1" w:themeTint="80"/>
          <w:szCs w:val="26"/>
          <w:lang w:val="es-MX"/>
        </w:rPr>
      </w:pPr>
      <w:r w:rsidRPr="005C79A3">
        <w:rPr>
          <w:rFonts w:ascii="Arial" w:eastAsia="Arial Unicode MS" w:hAnsi="Arial" w:cs="Arial"/>
          <w:b/>
          <w:color w:val="7F7F7F" w:themeColor="text1" w:themeTint="80"/>
          <w:szCs w:val="26"/>
          <w:lang w:val="es-MX"/>
        </w:rPr>
        <w:t>A N T E C E D E N T E S:</w:t>
      </w:r>
    </w:p>
    <w:p w:rsidR="005D0351" w:rsidRPr="005C79A3" w:rsidRDefault="005D0351" w:rsidP="005D0351">
      <w:pPr>
        <w:pStyle w:val="Textoindependienteprimerasangra"/>
        <w:spacing w:before="240" w:after="0"/>
        <w:ind w:firstLine="900"/>
        <w:rPr>
          <w:rFonts w:ascii="Arial" w:eastAsia="Arial Unicode MS" w:hAnsi="Arial" w:cs="Arial"/>
          <w:color w:val="7F7F7F" w:themeColor="text1" w:themeTint="80"/>
          <w:sz w:val="24"/>
          <w:lang w:val="es-MX"/>
        </w:rPr>
      </w:pPr>
      <w:r w:rsidRPr="005C79A3">
        <w:rPr>
          <w:rFonts w:ascii="Arial" w:eastAsia="Arial Unicode MS" w:hAnsi="Arial" w:cs="Arial"/>
          <w:b/>
          <w:color w:val="7F7F7F" w:themeColor="text1" w:themeTint="80"/>
          <w:sz w:val="24"/>
          <w:lang w:val="es-MX"/>
        </w:rPr>
        <w:t xml:space="preserve">PRIMERO. Solicitud de Información. </w:t>
      </w:r>
      <w:r w:rsidRPr="005C79A3">
        <w:rPr>
          <w:rFonts w:ascii="Arial" w:eastAsia="Arial Unicode MS" w:hAnsi="Arial" w:cs="Arial"/>
          <w:color w:val="7F7F7F" w:themeColor="text1" w:themeTint="80"/>
          <w:sz w:val="24"/>
          <w:lang w:val="es-MX"/>
        </w:rPr>
        <w:t xml:space="preserve">El </w:t>
      </w:r>
      <w:r w:rsidR="002D3512" w:rsidRPr="005C79A3">
        <w:rPr>
          <w:rFonts w:ascii="Arial" w:eastAsia="Arial Unicode MS" w:hAnsi="Arial" w:cs="Arial"/>
          <w:color w:val="7F7F7F" w:themeColor="text1" w:themeTint="80"/>
          <w:sz w:val="24"/>
          <w:lang w:val="es-MX"/>
        </w:rPr>
        <w:t>dieciocho de enero de dos mil dieciocho</w:t>
      </w:r>
      <w:r w:rsidRPr="005C79A3">
        <w:rPr>
          <w:rFonts w:ascii="Arial" w:eastAsia="Arial Unicode MS" w:hAnsi="Arial" w:cs="Arial"/>
          <w:color w:val="7F7F7F" w:themeColor="text1" w:themeTint="80"/>
          <w:sz w:val="24"/>
          <w:lang w:val="es-MX"/>
        </w:rPr>
        <w:t xml:space="preserve">, el recurrente presentó ante la </w:t>
      </w:r>
      <w:r w:rsidRPr="005C79A3">
        <w:rPr>
          <w:rFonts w:ascii="Arial" w:eastAsia="Arial Unicode MS" w:hAnsi="Arial" w:cs="Arial"/>
          <w:b/>
          <w:color w:val="7F7F7F" w:themeColor="text1" w:themeTint="80"/>
          <w:sz w:val="24"/>
          <w:lang w:val="es-MX"/>
        </w:rPr>
        <w:t xml:space="preserve">SECRETARÍA DE EDUCACIÓN DE GOBIERNO DEL ESTADO, </w:t>
      </w:r>
      <w:r w:rsidRPr="005C79A3">
        <w:rPr>
          <w:rFonts w:ascii="Arial" w:eastAsia="Arial Unicode MS" w:hAnsi="Arial" w:cs="Arial"/>
          <w:color w:val="7F7F7F" w:themeColor="text1" w:themeTint="80"/>
          <w:sz w:val="24"/>
          <w:lang w:val="es-MX"/>
        </w:rPr>
        <w:t xml:space="preserve">una solicitud de información a la cual le fue asignado el número de expediente 317/015/2018, y consistió la petición del solicitante en lo siguiente: </w:t>
      </w:r>
    </w:p>
    <w:p w:rsidR="002D3512" w:rsidRPr="005C79A3" w:rsidRDefault="002D3512" w:rsidP="002D3512">
      <w:pPr>
        <w:pStyle w:val="Prrafodelista"/>
        <w:numPr>
          <w:ilvl w:val="0"/>
          <w:numId w:val="27"/>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Informe los actos o diligencias que realizó la supuesta “comisión Investigadora” dentro de la Escuela Secundaria Técnica número 1; Solicitando informe los actos o diligencias hechas y copias simples de las mismas.</w:t>
      </w:r>
    </w:p>
    <w:p w:rsidR="002D3512" w:rsidRPr="005C79A3" w:rsidRDefault="002D3512" w:rsidP="002D3512">
      <w:pPr>
        <w:pStyle w:val="Prrafodelista"/>
        <w:numPr>
          <w:ilvl w:val="0"/>
          <w:numId w:val="27"/>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Solicito copia simple de los documentos recabados por la supuesta “Comisión Investigadora” dentro de la Escuela Secundaria Técnica número 1.</w:t>
      </w:r>
    </w:p>
    <w:p w:rsidR="002D3512" w:rsidRPr="005C79A3" w:rsidRDefault="002D3512" w:rsidP="002D3512">
      <w:pPr>
        <w:pStyle w:val="Prrafodelista"/>
        <w:numPr>
          <w:ilvl w:val="0"/>
          <w:numId w:val="27"/>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 xml:space="preserve">En caso de que exista declaración de persona alguna en relación a la investigación hecha por la “Comisión Investigadora” dentro de la Escuela Secundaria Técnica número 1, solicito indique el nombre, puesto y funciones del declarante, así como copia simple del nombramiento vigente; así mismo, solicito copia </w:t>
      </w:r>
      <w:r w:rsidR="008F6CCD" w:rsidRPr="005C79A3">
        <w:rPr>
          <w:rFonts w:ascii="Arial" w:eastAsia="Arial Unicode MS" w:hAnsi="Arial" w:cs="Arial"/>
          <w:i/>
          <w:color w:val="7F7F7F" w:themeColor="text1" w:themeTint="80"/>
          <w:sz w:val="22"/>
          <w:szCs w:val="22"/>
        </w:rPr>
        <w:t>simple de su nombramiento vigente; así mismo solicito copia simple de todo lo declarado por dicha persona... (sic).</w:t>
      </w:r>
    </w:p>
    <w:p w:rsidR="002D3512" w:rsidRPr="005C79A3" w:rsidRDefault="005D0351" w:rsidP="002D3512">
      <w:pPr>
        <w:pStyle w:val="Prrafodelista"/>
        <w:numPr>
          <w:ilvl w:val="0"/>
          <w:numId w:val="27"/>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 xml:space="preserve">Solicito indique el Coordinador General de la Unidad de Asuntos Jurídicos de la SEGE, si derivado de la investigación hecha por la “Comisión Investigadora”, dentro de la Escuela Secundaria Técnica número 1, empezó a o se encuentra en trámite un procedimiento de </w:t>
      </w:r>
      <w:r w:rsidRPr="005C79A3">
        <w:rPr>
          <w:rFonts w:ascii="Arial" w:eastAsia="Arial Unicode MS" w:hAnsi="Arial" w:cs="Arial"/>
          <w:i/>
          <w:color w:val="7F7F7F" w:themeColor="text1" w:themeTint="80"/>
          <w:sz w:val="22"/>
          <w:szCs w:val="22"/>
        </w:rPr>
        <w:lastRenderedPageBreak/>
        <w:t>queja o de sanción administrativa, en contra del PROFESOR LUIS IGNACIO DIEGUEZ ROMERO; solicitando indique dicho Coordinador en que etapa o estatus se encuentra dicho procedimiento de queja.</w:t>
      </w:r>
    </w:p>
    <w:p w:rsidR="008F6CCD" w:rsidRPr="005C79A3" w:rsidRDefault="005D0351" w:rsidP="008F6CCD">
      <w:pPr>
        <w:pStyle w:val="Prrafodelista"/>
        <w:numPr>
          <w:ilvl w:val="0"/>
          <w:numId w:val="27"/>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 xml:space="preserve">En caso de que exista un procedimiento de queja en contra del PROFESOR LUIS IGNACIO DIEGUEZ ROMERO en relación al unto anterior, indique el Coordinador General de la Unidad de Asuntos Jurídicos la fecha en que se citó al mencionado docente para que hiciera conocedor del procedimiento de queja y pudiera defenderse en términos del artículo 14 y 16 de la Constitución Política de los Estados Unidos Mexicanos, en donde salvaguardan la garantía de audiencia, legalidad y el debido proceso, por lo que solicito copia simple del </w:t>
      </w:r>
      <w:r w:rsidR="002D3512" w:rsidRPr="005C79A3">
        <w:rPr>
          <w:rFonts w:ascii="Arial" w:eastAsia="Arial Unicode MS" w:hAnsi="Arial" w:cs="Arial"/>
          <w:i/>
          <w:color w:val="7F7F7F" w:themeColor="text1" w:themeTint="80"/>
          <w:sz w:val="22"/>
          <w:szCs w:val="22"/>
        </w:rPr>
        <w:t>citatorio entregado al PROFESOR LUIS IGNACIO DIEGUEZ ROMERO...”</w:t>
      </w:r>
    </w:p>
    <w:p w:rsidR="005542B7" w:rsidRPr="005C79A3" w:rsidRDefault="008F6CCD" w:rsidP="008F6CCD">
      <w:pPr>
        <w:spacing w:after="200"/>
        <w:ind w:firstLine="708"/>
        <w:rPr>
          <w:rFonts w:ascii="Arial" w:hAnsi="Arial" w:cs="Arial"/>
          <w:color w:val="7F7F7F" w:themeColor="text1" w:themeTint="80"/>
          <w:sz w:val="24"/>
        </w:rPr>
      </w:pPr>
      <w:r w:rsidRPr="005C79A3">
        <w:rPr>
          <w:rFonts w:ascii="Arial" w:eastAsia="Arial Unicode MS" w:hAnsi="Arial" w:cs="Arial"/>
          <w:b/>
          <w:color w:val="7F7F7F" w:themeColor="text1" w:themeTint="80"/>
          <w:sz w:val="24"/>
        </w:rPr>
        <w:t xml:space="preserve">SEGUNDO. </w:t>
      </w:r>
      <w:r w:rsidRPr="005C79A3">
        <w:rPr>
          <w:rFonts w:ascii="Arial" w:hAnsi="Arial" w:cs="Arial"/>
          <w:b/>
          <w:color w:val="7F7F7F" w:themeColor="text1" w:themeTint="80"/>
          <w:sz w:val="24"/>
        </w:rPr>
        <w:t xml:space="preserve">Respuesta del sujeto obligado. </w:t>
      </w:r>
      <w:r w:rsidRPr="005C79A3">
        <w:rPr>
          <w:rFonts w:ascii="Arial" w:hAnsi="Arial" w:cs="Arial"/>
          <w:color w:val="7F7F7F" w:themeColor="text1" w:themeTint="80"/>
          <w:sz w:val="24"/>
        </w:rPr>
        <w:t>El tres de febrero de dos mil dieciocho, se notificó la respuesta a la solicitud del recurrente a través de instructivo, y se hizo saber del contenido del oficio DST/046/2018, signado por el Jefe del Departamento de Educación Secundaria Técnica, el cual obra a foja 17 diecisiete.</w:t>
      </w:r>
    </w:p>
    <w:p w:rsidR="000F6AFB" w:rsidRPr="005C79A3" w:rsidRDefault="000F6AFB" w:rsidP="000F6AFB">
      <w:pPr>
        <w:spacing w:after="200"/>
        <w:ind w:firstLine="708"/>
        <w:rPr>
          <w:rFonts w:ascii="Arial" w:hAnsi="Arial" w:cs="Arial"/>
          <w:color w:val="7F7F7F" w:themeColor="text1" w:themeTint="80"/>
          <w:sz w:val="24"/>
        </w:rPr>
      </w:pPr>
      <w:r w:rsidRPr="005C79A3">
        <w:rPr>
          <w:rFonts w:ascii="Arial" w:hAnsi="Arial" w:cs="Arial"/>
          <w:b/>
          <w:color w:val="7F7F7F" w:themeColor="text1" w:themeTint="80"/>
          <w:sz w:val="24"/>
        </w:rPr>
        <w:t xml:space="preserve">TERCERO. Interposición del recurso de revisión. </w:t>
      </w:r>
      <w:r w:rsidRPr="005C79A3">
        <w:rPr>
          <w:rFonts w:ascii="Arial" w:eastAsia="Arial Unicode MS" w:hAnsi="Arial" w:cs="Arial"/>
          <w:color w:val="7F7F7F" w:themeColor="text1" w:themeTint="80"/>
          <w:sz w:val="24"/>
          <w:lang w:val="es-MX"/>
        </w:rPr>
        <w:t>El dieciséis de febrero de dos mil dieciocho</w:t>
      </w:r>
      <w:r w:rsidRPr="005C79A3">
        <w:rPr>
          <w:rFonts w:ascii="Arial" w:hAnsi="Arial" w:cs="Arial"/>
          <w:color w:val="7F7F7F" w:themeColor="text1" w:themeTint="80"/>
          <w:sz w:val="24"/>
        </w:rPr>
        <w:t xml:space="preserve">, este Órgano Garante recibió el recurso de revisión interpuesto por el ahora recurrente contra la respuesta emitida por parte de la </w:t>
      </w:r>
      <w:r w:rsidRPr="005C79A3">
        <w:rPr>
          <w:rFonts w:ascii="Arial" w:hAnsi="Arial" w:cs="Arial"/>
          <w:b/>
          <w:color w:val="7F7F7F" w:themeColor="text1" w:themeTint="80"/>
          <w:sz w:val="24"/>
        </w:rPr>
        <w:t>SECRETARIA DE EDUCACIÓN DE GOBIERNO DEL ESTADO</w:t>
      </w:r>
      <w:r w:rsidRPr="005C79A3">
        <w:rPr>
          <w:rFonts w:ascii="Arial" w:eastAsia="Arial Unicode MS" w:hAnsi="Arial" w:cs="Arial"/>
          <w:b/>
          <w:color w:val="7F7F7F" w:themeColor="text1" w:themeTint="80"/>
          <w:sz w:val="24"/>
          <w:lang w:val="es-MX"/>
        </w:rPr>
        <w:t xml:space="preserve">, </w:t>
      </w:r>
      <w:r w:rsidRPr="005C79A3">
        <w:rPr>
          <w:rFonts w:ascii="Arial" w:hAnsi="Arial" w:cs="Arial"/>
          <w:color w:val="7F7F7F" w:themeColor="text1" w:themeTint="80"/>
          <w:sz w:val="24"/>
        </w:rPr>
        <w:t>y señaló como motivos de inconformidad:</w:t>
      </w:r>
    </w:p>
    <w:p w:rsidR="00E87685" w:rsidRPr="005C79A3" w:rsidRDefault="00E87685" w:rsidP="007E4FF2">
      <w:pPr>
        <w:spacing w:line="240" w:lineRule="auto"/>
        <w:ind w:left="709" w:firstLine="708"/>
        <w:rPr>
          <w:rFonts w:ascii="Arial" w:hAnsi="Arial" w:cs="Arial"/>
          <w:color w:val="7F7F7F" w:themeColor="text1" w:themeTint="80"/>
          <w:sz w:val="22"/>
          <w:szCs w:val="22"/>
        </w:rPr>
      </w:pPr>
      <w:r w:rsidRPr="005C79A3">
        <w:rPr>
          <w:rFonts w:ascii="Arial" w:hAnsi="Arial" w:cs="Arial"/>
          <w:color w:val="7F7F7F" w:themeColor="text1" w:themeTint="80"/>
          <w:sz w:val="22"/>
          <w:szCs w:val="22"/>
        </w:rPr>
        <w:t>Acto que se recurre:</w:t>
      </w:r>
    </w:p>
    <w:p w:rsidR="000F6AFB" w:rsidRPr="005C79A3" w:rsidRDefault="000F6AFB" w:rsidP="007E4FF2">
      <w:pPr>
        <w:spacing w:line="240" w:lineRule="auto"/>
        <w:ind w:left="709" w:firstLine="708"/>
        <w:rPr>
          <w:rFonts w:ascii="Arial" w:eastAsia="Arial Unicode MS" w:hAnsi="Arial" w:cs="Arial"/>
          <w:i/>
          <w:color w:val="7F7F7F" w:themeColor="text1" w:themeTint="80"/>
          <w:sz w:val="22"/>
          <w:szCs w:val="22"/>
          <w:lang w:val="es-MX"/>
        </w:rPr>
      </w:pPr>
      <w:r w:rsidRPr="005C79A3">
        <w:rPr>
          <w:rFonts w:ascii="Arial" w:hAnsi="Arial" w:cs="Arial"/>
          <w:i/>
          <w:color w:val="7F7F7F" w:themeColor="text1" w:themeTint="80"/>
          <w:sz w:val="22"/>
          <w:szCs w:val="22"/>
        </w:rPr>
        <w:t xml:space="preserve">“...La clasificación de la información que hacen los sujetos obligados Jefe del Departamento de Educación Secundarias Técnicas y Unidad de Asuntos Jurídicos ambos de la Secretaría de Educación del Gobierno del Estado de San Luis Potosí; puesto que ambos, niegan la información argumentando que constituye “parte de un procedimiento que a la fecha no ha concluido” y por tanto se trata de una reserva y a su dicho encontrarse dentro del supuesto previsto por el artículo 129 fracción X de la Ley Estatal de Transparencia y Acceso a la Información Pública...”. </w:t>
      </w:r>
    </w:p>
    <w:p w:rsidR="00E87685" w:rsidRPr="005C79A3" w:rsidRDefault="00E87685" w:rsidP="007E4FF2">
      <w:pPr>
        <w:pStyle w:val="Textoindependienteprimerasangra"/>
        <w:spacing w:after="0" w:line="240" w:lineRule="auto"/>
        <w:ind w:left="709" w:firstLine="708"/>
        <w:rPr>
          <w:rFonts w:ascii="Arial" w:hAnsi="Arial" w:cs="Arial"/>
          <w:noProof/>
          <w:color w:val="7F7F7F" w:themeColor="text1" w:themeTint="80"/>
          <w:sz w:val="22"/>
          <w:szCs w:val="22"/>
          <w:lang w:val="es-MX" w:eastAsia="es-MX"/>
        </w:rPr>
      </w:pPr>
      <w:r w:rsidRPr="005C79A3">
        <w:rPr>
          <w:rFonts w:ascii="Arial" w:hAnsi="Arial" w:cs="Arial"/>
          <w:noProof/>
          <w:color w:val="7F7F7F" w:themeColor="text1" w:themeTint="80"/>
          <w:sz w:val="22"/>
          <w:szCs w:val="22"/>
          <w:lang w:val="es-MX" w:eastAsia="es-MX"/>
        </w:rPr>
        <w:t xml:space="preserve">Razones o motivos de agravios: </w:t>
      </w:r>
    </w:p>
    <w:p w:rsidR="00E87685" w:rsidRPr="005C79A3" w:rsidRDefault="007D3E88" w:rsidP="007E4FF2">
      <w:pPr>
        <w:pStyle w:val="Textoindependienteprimerasangra"/>
        <w:spacing w:after="0" w:line="240" w:lineRule="auto"/>
        <w:ind w:left="709"/>
        <w:rPr>
          <w:rFonts w:ascii="Arial" w:hAnsi="Arial" w:cs="Arial"/>
          <w:i/>
          <w:noProof/>
          <w:color w:val="7F7F7F" w:themeColor="text1" w:themeTint="80"/>
          <w:sz w:val="22"/>
          <w:szCs w:val="22"/>
          <w:lang w:val="es-MX" w:eastAsia="es-MX"/>
        </w:rPr>
      </w:pPr>
      <w:r w:rsidRPr="005C79A3">
        <w:rPr>
          <w:rFonts w:ascii="Arial" w:hAnsi="Arial" w:cs="Arial"/>
          <w:i/>
          <w:noProof/>
          <w:color w:val="7F7F7F" w:themeColor="text1" w:themeTint="80"/>
          <w:sz w:val="22"/>
          <w:szCs w:val="22"/>
          <w:lang w:val="es-MX" w:eastAsia="es-MX"/>
        </w:rPr>
        <w:tab/>
      </w:r>
      <w:r w:rsidR="002C0A19" w:rsidRPr="005C79A3">
        <w:rPr>
          <w:rFonts w:ascii="Arial" w:hAnsi="Arial" w:cs="Arial"/>
          <w:i/>
          <w:noProof/>
          <w:color w:val="7F7F7F" w:themeColor="text1" w:themeTint="80"/>
          <w:sz w:val="22"/>
          <w:szCs w:val="22"/>
          <w:lang w:val="es-MX" w:eastAsia="es-MX"/>
        </w:rPr>
        <w:t>“...La</w:t>
      </w:r>
      <w:r w:rsidR="00E87685" w:rsidRPr="005C79A3">
        <w:rPr>
          <w:rFonts w:ascii="Arial" w:hAnsi="Arial" w:cs="Arial"/>
          <w:i/>
          <w:noProof/>
          <w:color w:val="7F7F7F" w:themeColor="text1" w:themeTint="80"/>
          <w:sz w:val="22"/>
          <w:szCs w:val="22"/>
          <w:lang w:val="es-MX" w:eastAsia="es-MX"/>
        </w:rPr>
        <w:t xml:space="preserve">s obligadas Jefe del departamento de Educación Secundarias Técnicas y Unidad de Asuntos Jurídicos ambos de la Secretaría de Educación de Gobierno del Estado de San Luis Potosí, han manifestado que constotuye “parte de un procedimiento que a la fecha no ha concluido”, y por tanto, se trata de una reserva al encontrarse dentro del supuesto previsto por el artículo 129 fracción X de la Ley Estatal de Transparencia y Acceso a la Información Públicaque dice: “VULNERE LA CONDUCCIÓN DE LOS EXPEDIENTES JUDICIALES O DE LOS PROCEDIMIENTOS ADMINISTRATIVOS SEGUIDOS EN FORMA DE JUICIO, EN TANTO NO HAYAN CAUSADO ESTADO”, sin embargo, este no es el caso, el procedimiento que los obligados han iniciado no tiene el carácter ni de un expediente judicial ni de un procedimiento administrativo; por lo que, no es de aplicarse el supuesto que invocan. No es un procedimiento judicial dado que los sujetos obligados carecen de la calidad de jueces o tribunales judiciales, entonces queda ver si tiene el cáracter de procedimiento administrativo. </w:t>
      </w:r>
    </w:p>
    <w:p w:rsidR="00E87685" w:rsidRPr="005C79A3" w:rsidRDefault="00E87685" w:rsidP="007E4FF2">
      <w:pPr>
        <w:pStyle w:val="Textoindependienteprimerasangra"/>
        <w:spacing w:after="0" w:line="240" w:lineRule="auto"/>
        <w:ind w:left="709"/>
        <w:rPr>
          <w:rFonts w:ascii="Arial" w:hAnsi="Arial" w:cs="Arial"/>
          <w:i/>
          <w:noProof/>
          <w:color w:val="7F7F7F" w:themeColor="text1" w:themeTint="80"/>
          <w:sz w:val="22"/>
          <w:szCs w:val="22"/>
          <w:lang w:val="es-MX" w:eastAsia="es-MX"/>
        </w:rPr>
      </w:pPr>
      <w:r w:rsidRPr="005C79A3">
        <w:rPr>
          <w:rFonts w:ascii="Arial" w:hAnsi="Arial" w:cs="Arial"/>
          <w:i/>
          <w:noProof/>
          <w:color w:val="7F7F7F" w:themeColor="text1" w:themeTint="80"/>
          <w:sz w:val="22"/>
          <w:szCs w:val="22"/>
          <w:lang w:val="es-MX" w:eastAsia="es-MX"/>
        </w:rPr>
        <w:lastRenderedPageBreak/>
        <w:t>Se define el procedimeitno administrativo como una instancia jurisdiccional bajo el fuero contencioso-administrativo necesario, en ese sentido cabe señalar quesu excusa o excepción no procede. De hecho no existe la autoridad “comisión investigadora”, que inicio el supuesto procedimiento, ya que no se contempla en ninguna jurisdicción que pueda el Jefe de Departamento de Educación Técnica y el Secretario General del Sindicato Nacional de Trabajadores de la Educación, integrar una comisión ex profeso para investigar a un exclusivo sujeto perteneciente a uno de ellos como trabajador de la Secretaría de Educación de Gobierno del Estado</w:t>
      </w:r>
      <w:r w:rsidR="002C0A19" w:rsidRPr="005C79A3">
        <w:rPr>
          <w:rFonts w:ascii="Arial" w:hAnsi="Arial" w:cs="Arial"/>
          <w:i/>
          <w:noProof/>
          <w:color w:val="7F7F7F" w:themeColor="text1" w:themeTint="80"/>
          <w:sz w:val="22"/>
          <w:szCs w:val="22"/>
          <w:lang w:val="es-MX" w:eastAsia="es-MX"/>
        </w:rPr>
        <w:t xml:space="preserve"> de San Luis Potosí y, al otro como miembro del del Sindicato, pues estaríamos creando un organismo exclusivo para juzgar y sentenciar al profesor LUIS IGNACIO DIEGUEZ ROMERO, en este sentido los actos que realizaron no tienen el carácter de jurisdiccionales  o administrativos al no estar contemplados como procedimiento en ningún reglamento o código. Sin embargo, reconocen su existencia y no dejan de ser parte de su actuación administrativa para la realización de un fin; más no se confunda con proceso administrativo el cual es una instancia jurisdiccional bajo el fuero contencioso-administrativo; en este sentido se encuentra obligado a darnos a conocer su actuación y concedernos la información de manera inmediata.</w:t>
      </w:r>
    </w:p>
    <w:p w:rsidR="002C0A19" w:rsidRPr="005C79A3" w:rsidRDefault="002C0A19" w:rsidP="007E4FF2">
      <w:pPr>
        <w:pStyle w:val="Textoindependienteprimerasangra"/>
        <w:spacing w:line="240" w:lineRule="auto"/>
        <w:ind w:left="709"/>
        <w:rPr>
          <w:rFonts w:ascii="Arial" w:hAnsi="Arial" w:cs="Arial"/>
          <w:i/>
          <w:noProof/>
          <w:color w:val="7F7F7F" w:themeColor="text1" w:themeTint="80"/>
          <w:sz w:val="22"/>
          <w:szCs w:val="22"/>
          <w:lang w:val="es-MX" w:eastAsia="es-MX"/>
        </w:rPr>
      </w:pPr>
      <w:r w:rsidRPr="005C79A3">
        <w:rPr>
          <w:rFonts w:ascii="Arial" w:hAnsi="Arial" w:cs="Arial"/>
          <w:i/>
          <w:noProof/>
          <w:color w:val="7F7F7F" w:themeColor="text1" w:themeTint="80"/>
          <w:sz w:val="22"/>
          <w:szCs w:val="22"/>
          <w:lang w:val="es-MX" w:eastAsia="es-MX"/>
        </w:rPr>
        <w:t xml:space="preserve">Me permito acompañar la actuación en donde nos fue otorgada la integración de la Comisión investigadora, con sus anexoa y el acuerdo que hoy reclamamos; para efectos legales de autorización a este documento firma el profesor LUIS IGNACIO DIEGUEZ ROMERO, autorizando para si fuere el caso este documento a fin de manifestar su conformidad con que me sea entregada dicha información al final y resolución de la presente...”. </w:t>
      </w:r>
    </w:p>
    <w:p w:rsidR="004602D7" w:rsidRPr="005C79A3" w:rsidRDefault="007E4FF2" w:rsidP="007E4FF2">
      <w:pPr>
        <w:pStyle w:val="Textoindependienteprimerasangra"/>
        <w:spacing w:before="240"/>
        <w:rPr>
          <w:rFonts w:ascii="Arial" w:hAnsi="Arial" w:cs="Arial"/>
          <w:color w:val="7F7F7F" w:themeColor="text1" w:themeTint="80"/>
          <w:szCs w:val="26"/>
        </w:rPr>
      </w:pPr>
      <w:r w:rsidRPr="005C79A3">
        <w:rPr>
          <w:rFonts w:ascii="Arial" w:hAnsi="Arial" w:cs="Arial"/>
          <w:b/>
          <w:color w:val="7F7F7F" w:themeColor="text1" w:themeTint="80"/>
          <w:szCs w:val="26"/>
        </w:rPr>
        <w:tab/>
      </w:r>
      <w:r w:rsidR="00547C44" w:rsidRPr="005C79A3">
        <w:rPr>
          <w:rFonts w:ascii="Arial" w:hAnsi="Arial" w:cs="Arial"/>
          <w:b/>
          <w:color w:val="7F7F7F" w:themeColor="text1" w:themeTint="80"/>
          <w:szCs w:val="26"/>
        </w:rPr>
        <w:t>CUARTO. Turno.</w:t>
      </w:r>
      <w:r w:rsidR="00547C44" w:rsidRPr="005C79A3">
        <w:rPr>
          <w:rFonts w:ascii="Arial" w:hAnsi="Arial" w:cs="Arial"/>
          <w:color w:val="7F7F7F" w:themeColor="text1" w:themeTint="80"/>
          <w:szCs w:val="26"/>
        </w:rPr>
        <w:t xml:space="preserve"> De conformidad con el artículo 174, fracción I de la Ley de Transparencia y Acceso a la Información Pública del Estado, el recurso de revisión </w:t>
      </w:r>
      <w:r w:rsidR="00547C44" w:rsidRPr="005C79A3">
        <w:rPr>
          <w:rFonts w:ascii="Arial" w:hAnsi="Arial" w:cs="Arial"/>
          <w:b/>
          <w:color w:val="7F7F7F" w:themeColor="text1" w:themeTint="80"/>
          <w:szCs w:val="26"/>
        </w:rPr>
        <w:t>R</w:t>
      </w:r>
      <w:r w:rsidR="008F6CCD" w:rsidRPr="005C79A3">
        <w:rPr>
          <w:rFonts w:ascii="Arial" w:hAnsi="Arial" w:cs="Arial"/>
          <w:b/>
          <w:color w:val="7F7F7F" w:themeColor="text1" w:themeTint="80"/>
          <w:szCs w:val="26"/>
        </w:rPr>
        <w:t>R-108</w:t>
      </w:r>
      <w:r w:rsidR="00412DE5" w:rsidRPr="005C79A3">
        <w:rPr>
          <w:rFonts w:ascii="Arial" w:hAnsi="Arial" w:cs="Arial"/>
          <w:b/>
          <w:color w:val="7F7F7F" w:themeColor="text1" w:themeTint="80"/>
          <w:szCs w:val="26"/>
        </w:rPr>
        <w:t>/2018</w:t>
      </w:r>
      <w:r w:rsidR="00547C44" w:rsidRPr="005C79A3">
        <w:rPr>
          <w:rFonts w:ascii="Arial" w:hAnsi="Arial" w:cs="Arial"/>
          <w:b/>
          <w:color w:val="7F7F7F" w:themeColor="text1" w:themeTint="80"/>
          <w:szCs w:val="26"/>
        </w:rPr>
        <w:t>-3</w:t>
      </w:r>
      <w:r w:rsidR="00EC02D9" w:rsidRPr="005C79A3">
        <w:rPr>
          <w:rFonts w:ascii="Arial" w:hAnsi="Arial" w:cs="Arial"/>
          <w:b/>
          <w:color w:val="7F7F7F" w:themeColor="text1" w:themeTint="80"/>
          <w:szCs w:val="26"/>
        </w:rPr>
        <w:t>,</w:t>
      </w:r>
      <w:r w:rsidR="00547C44" w:rsidRPr="005C79A3">
        <w:rPr>
          <w:rFonts w:ascii="Arial" w:hAnsi="Arial" w:cs="Arial"/>
          <w:color w:val="7F7F7F" w:themeColor="text1" w:themeTint="80"/>
          <w:szCs w:val="26"/>
        </w:rPr>
        <w:t xml:space="preserve"> fue turnado a la Comisionada Ponente, para que sustanciara el periodo de instrucción, y en su momento presentara al Pleno el proyecto de resolución correspondiente.</w:t>
      </w:r>
    </w:p>
    <w:p w:rsidR="00547C44" w:rsidRPr="005C79A3" w:rsidRDefault="00547C44" w:rsidP="007E4FF2">
      <w:pPr>
        <w:spacing w:before="240" w:after="240"/>
        <w:rPr>
          <w:rFonts w:ascii="Arial" w:hAnsi="Arial" w:cs="Arial"/>
          <w:color w:val="7F7F7F" w:themeColor="text1" w:themeTint="80"/>
          <w:szCs w:val="26"/>
        </w:rPr>
      </w:pPr>
      <w:r w:rsidRPr="005C79A3">
        <w:rPr>
          <w:rFonts w:ascii="Arial" w:hAnsi="Arial" w:cs="Arial"/>
          <w:b/>
          <w:color w:val="7F7F7F" w:themeColor="text1" w:themeTint="80"/>
          <w:szCs w:val="26"/>
        </w:rPr>
        <w:tab/>
        <w:t xml:space="preserve">QUINTO. Admisión. </w:t>
      </w:r>
      <w:r w:rsidRPr="005C79A3">
        <w:rPr>
          <w:rFonts w:ascii="Arial" w:hAnsi="Arial" w:cs="Arial"/>
          <w:color w:val="7F7F7F" w:themeColor="text1" w:themeTint="80"/>
          <w:szCs w:val="26"/>
        </w:rPr>
        <w:t xml:space="preserve">El </w:t>
      </w:r>
      <w:r w:rsidR="008F6CCD" w:rsidRPr="005C79A3">
        <w:rPr>
          <w:rFonts w:ascii="Arial" w:hAnsi="Arial" w:cs="Arial"/>
          <w:color w:val="7F7F7F" w:themeColor="text1" w:themeTint="80"/>
          <w:szCs w:val="26"/>
        </w:rPr>
        <w:t>veintisiete</w:t>
      </w:r>
      <w:r w:rsidR="007E1FDF" w:rsidRPr="005C79A3">
        <w:rPr>
          <w:rFonts w:ascii="Arial" w:hAnsi="Arial" w:cs="Arial"/>
          <w:color w:val="7F7F7F" w:themeColor="text1" w:themeTint="80"/>
          <w:szCs w:val="26"/>
        </w:rPr>
        <w:t xml:space="preserve"> de febrero</w:t>
      </w:r>
      <w:r w:rsidR="00412DE5" w:rsidRPr="005C79A3">
        <w:rPr>
          <w:rFonts w:ascii="Arial" w:hAnsi="Arial" w:cs="Arial"/>
          <w:color w:val="7F7F7F" w:themeColor="text1" w:themeTint="80"/>
          <w:szCs w:val="26"/>
        </w:rPr>
        <w:t xml:space="preserve"> de dos mil dieciocho</w:t>
      </w:r>
      <w:r w:rsidRPr="005C79A3">
        <w:rPr>
          <w:rFonts w:ascii="Arial" w:hAnsi="Arial" w:cs="Arial"/>
          <w:color w:val="7F7F7F" w:themeColor="text1" w:themeTint="80"/>
          <w:szCs w:val="26"/>
        </w:rPr>
        <w:t xml:space="preserve">, esta Comisión, con base en el artículo 174, fracción II de la Ley de Transparencia del Estado, admitió el presente medio de impugnación, a fin de integrar el expediente respectivo y ponerlo a disposición de las partes para que en el plazo que reconoce la ley manifestaran y ofrecieran las pruebas que a su derecho correspondía. </w:t>
      </w:r>
    </w:p>
    <w:p w:rsidR="004602D7" w:rsidRPr="005C79A3" w:rsidRDefault="00547C44" w:rsidP="00B91518">
      <w:pPr>
        <w:spacing w:before="240" w:after="240"/>
        <w:rPr>
          <w:rFonts w:ascii="Arial" w:hAnsi="Arial" w:cs="Arial"/>
          <w:color w:val="7F7F7F" w:themeColor="text1" w:themeTint="80"/>
          <w:sz w:val="24"/>
        </w:rPr>
      </w:pPr>
      <w:r w:rsidRPr="005C79A3">
        <w:rPr>
          <w:rFonts w:ascii="Arial" w:hAnsi="Arial" w:cs="Arial"/>
          <w:b/>
          <w:color w:val="7F7F7F" w:themeColor="text1" w:themeTint="80"/>
          <w:szCs w:val="26"/>
        </w:rPr>
        <w:tab/>
        <w:t xml:space="preserve">SEXTO. </w:t>
      </w:r>
      <w:r w:rsidR="00BD5377" w:rsidRPr="005C79A3">
        <w:rPr>
          <w:rFonts w:ascii="Arial" w:hAnsi="Arial" w:cs="Arial"/>
          <w:b/>
          <w:color w:val="7F7F7F" w:themeColor="text1" w:themeTint="80"/>
          <w:szCs w:val="26"/>
        </w:rPr>
        <w:t>Manifestaciones de las partes</w:t>
      </w:r>
      <w:r w:rsidRPr="005C79A3">
        <w:rPr>
          <w:rFonts w:ascii="Arial" w:hAnsi="Arial" w:cs="Arial"/>
          <w:b/>
          <w:color w:val="7F7F7F" w:themeColor="text1" w:themeTint="80"/>
          <w:szCs w:val="26"/>
        </w:rPr>
        <w:t xml:space="preserve">. </w:t>
      </w:r>
      <w:r w:rsidRPr="005C79A3">
        <w:rPr>
          <w:rFonts w:ascii="Arial" w:hAnsi="Arial" w:cs="Arial"/>
          <w:color w:val="7F7F7F" w:themeColor="text1" w:themeTint="80"/>
          <w:szCs w:val="26"/>
        </w:rPr>
        <w:t xml:space="preserve">El </w:t>
      </w:r>
      <w:r w:rsidR="000F6AFB" w:rsidRPr="005C79A3">
        <w:rPr>
          <w:rFonts w:ascii="Arial" w:hAnsi="Arial" w:cs="Arial"/>
          <w:color w:val="7F7F7F" w:themeColor="text1" w:themeTint="80"/>
          <w:szCs w:val="26"/>
        </w:rPr>
        <w:t>veinte de marzo de</w:t>
      </w:r>
      <w:r w:rsidR="00846E60" w:rsidRPr="005C79A3">
        <w:rPr>
          <w:rFonts w:ascii="Arial" w:hAnsi="Arial" w:cs="Arial"/>
          <w:color w:val="7F7F7F" w:themeColor="text1" w:themeTint="80"/>
          <w:szCs w:val="26"/>
        </w:rPr>
        <w:t xml:space="preserve"> </w:t>
      </w:r>
      <w:r w:rsidR="00412DE5" w:rsidRPr="005C79A3">
        <w:rPr>
          <w:rFonts w:ascii="Arial" w:hAnsi="Arial" w:cs="Arial"/>
          <w:color w:val="7F7F7F" w:themeColor="text1" w:themeTint="80"/>
          <w:szCs w:val="26"/>
        </w:rPr>
        <w:t>dos mil dieciocho</w:t>
      </w:r>
      <w:r w:rsidRPr="005C79A3">
        <w:rPr>
          <w:rFonts w:ascii="Arial" w:hAnsi="Arial" w:cs="Arial"/>
          <w:color w:val="7F7F7F" w:themeColor="text1" w:themeTint="80"/>
          <w:szCs w:val="26"/>
        </w:rPr>
        <w:t>, se emitió un acuerdo po</w:t>
      </w:r>
      <w:r w:rsidR="00412DE5" w:rsidRPr="005C79A3">
        <w:rPr>
          <w:rFonts w:ascii="Arial" w:hAnsi="Arial" w:cs="Arial"/>
          <w:color w:val="7F7F7F" w:themeColor="text1" w:themeTint="80"/>
          <w:szCs w:val="26"/>
        </w:rPr>
        <w:t>r el cual se tuv</w:t>
      </w:r>
      <w:r w:rsidR="000F6AFB" w:rsidRPr="005C79A3">
        <w:rPr>
          <w:rFonts w:ascii="Arial" w:hAnsi="Arial" w:cs="Arial"/>
          <w:color w:val="7F7F7F" w:themeColor="text1" w:themeTint="80"/>
          <w:szCs w:val="26"/>
        </w:rPr>
        <w:t xml:space="preserve">ieron </w:t>
      </w:r>
      <w:r w:rsidR="00C9337E" w:rsidRPr="005C79A3">
        <w:rPr>
          <w:rFonts w:ascii="Arial" w:hAnsi="Arial" w:cs="Arial"/>
          <w:color w:val="7F7F7F" w:themeColor="text1" w:themeTint="80"/>
          <w:szCs w:val="26"/>
        </w:rPr>
        <w:t xml:space="preserve">por recibido </w:t>
      </w:r>
      <w:r w:rsidR="000F6AFB" w:rsidRPr="005C79A3">
        <w:rPr>
          <w:rFonts w:ascii="Arial" w:hAnsi="Arial" w:cs="Arial"/>
          <w:color w:val="7F7F7F" w:themeColor="text1" w:themeTint="80"/>
          <w:szCs w:val="26"/>
        </w:rPr>
        <w:t>los</w:t>
      </w:r>
      <w:r w:rsidR="00412DE5" w:rsidRPr="005C79A3">
        <w:rPr>
          <w:rFonts w:ascii="Arial" w:hAnsi="Arial" w:cs="Arial"/>
          <w:color w:val="7F7F7F" w:themeColor="text1" w:themeTint="80"/>
          <w:szCs w:val="26"/>
        </w:rPr>
        <w:t xml:space="preserve"> </w:t>
      </w:r>
      <w:r w:rsidR="00C9337E" w:rsidRPr="005C79A3">
        <w:rPr>
          <w:rFonts w:ascii="Arial" w:hAnsi="Arial" w:cs="Arial"/>
          <w:color w:val="7F7F7F" w:themeColor="text1" w:themeTint="80"/>
          <w:szCs w:val="26"/>
        </w:rPr>
        <w:t>oficio</w:t>
      </w:r>
      <w:r w:rsidR="000F6AFB" w:rsidRPr="005C79A3">
        <w:rPr>
          <w:rFonts w:ascii="Arial" w:hAnsi="Arial" w:cs="Arial"/>
          <w:color w:val="7F7F7F" w:themeColor="text1" w:themeTint="80"/>
          <w:szCs w:val="26"/>
        </w:rPr>
        <w:t>s UT-0508/2018, DST/161/2018 y UAJ-0310/2018, signados respectivamente</w:t>
      </w:r>
      <w:r w:rsidR="007E1FDF" w:rsidRPr="005C79A3">
        <w:rPr>
          <w:rFonts w:ascii="Arial" w:hAnsi="Arial" w:cs="Arial"/>
          <w:color w:val="7F7F7F" w:themeColor="text1" w:themeTint="80"/>
          <w:szCs w:val="26"/>
        </w:rPr>
        <w:t xml:space="preserve"> por la Titu</w:t>
      </w:r>
      <w:r w:rsidR="00846E60" w:rsidRPr="005C79A3">
        <w:rPr>
          <w:rFonts w:ascii="Arial" w:hAnsi="Arial" w:cs="Arial"/>
          <w:color w:val="7F7F7F" w:themeColor="text1" w:themeTint="80"/>
          <w:szCs w:val="26"/>
        </w:rPr>
        <w:t>lar de la Unidad de Transparencia</w:t>
      </w:r>
      <w:r w:rsidR="000F6AFB" w:rsidRPr="005C79A3">
        <w:rPr>
          <w:rFonts w:ascii="Arial" w:hAnsi="Arial" w:cs="Arial"/>
          <w:color w:val="7F7F7F" w:themeColor="text1" w:themeTint="80"/>
          <w:szCs w:val="26"/>
        </w:rPr>
        <w:t>, el Jefe de Departamento de Secundarias Técnicas y el Coordinador General de la Unidad de Asuntos Jurídicos</w:t>
      </w:r>
      <w:r w:rsidR="00846E60" w:rsidRPr="005C79A3">
        <w:rPr>
          <w:rFonts w:ascii="Arial" w:hAnsi="Arial" w:cs="Arial"/>
          <w:color w:val="7F7F7F" w:themeColor="text1" w:themeTint="80"/>
          <w:szCs w:val="26"/>
        </w:rPr>
        <w:t xml:space="preserve">, </w:t>
      </w:r>
      <w:r w:rsidR="000F6AFB" w:rsidRPr="005C79A3">
        <w:rPr>
          <w:rFonts w:ascii="Arial" w:hAnsi="Arial" w:cs="Arial"/>
          <w:color w:val="7F7F7F" w:themeColor="text1" w:themeTint="80"/>
          <w:szCs w:val="26"/>
        </w:rPr>
        <w:t xml:space="preserve">los </w:t>
      </w:r>
      <w:r w:rsidR="00545919" w:rsidRPr="005C79A3">
        <w:rPr>
          <w:rFonts w:ascii="Arial" w:hAnsi="Arial" w:cs="Arial"/>
          <w:color w:val="7F7F7F" w:themeColor="text1" w:themeTint="80"/>
          <w:szCs w:val="26"/>
        </w:rPr>
        <w:t>cual</w:t>
      </w:r>
      <w:r w:rsidR="000F6AFB" w:rsidRPr="005C79A3">
        <w:rPr>
          <w:rFonts w:ascii="Arial" w:hAnsi="Arial" w:cs="Arial"/>
          <w:color w:val="7F7F7F" w:themeColor="text1" w:themeTint="80"/>
          <w:szCs w:val="26"/>
        </w:rPr>
        <w:t>es</w:t>
      </w:r>
      <w:r w:rsidR="00694838" w:rsidRPr="005C79A3">
        <w:rPr>
          <w:rFonts w:ascii="Arial" w:hAnsi="Arial" w:cs="Arial"/>
          <w:color w:val="7F7F7F" w:themeColor="text1" w:themeTint="80"/>
          <w:szCs w:val="26"/>
        </w:rPr>
        <w:t xml:space="preserve"> se tu</w:t>
      </w:r>
      <w:r w:rsidR="00412DE5" w:rsidRPr="005C79A3">
        <w:rPr>
          <w:rFonts w:ascii="Arial" w:hAnsi="Arial" w:cs="Arial"/>
          <w:color w:val="7F7F7F" w:themeColor="text1" w:themeTint="80"/>
          <w:szCs w:val="26"/>
        </w:rPr>
        <w:t>v</w:t>
      </w:r>
      <w:r w:rsidR="000F6AFB" w:rsidRPr="005C79A3">
        <w:rPr>
          <w:rFonts w:ascii="Arial" w:hAnsi="Arial" w:cs="Arial"/>
          <w:color w:val="7F7F7F" w:themeColor="text1" w:themeTint="80"/>
          <w:szCs w:val="26"/>
        </w:rPr>
        <w:t>ier</w:t>
      </w:r>
      <w:r w:rsidR="00694838" w:rsidRPr="005C79A3">
        <w:rPr>
          <w:rFonts w:ascii="Arial" w:hAnsi="Arial" w:cs="Arial"/>
          <w:color w:val="7F7F7F" w:themeColor="text1" w:themeTint="80"/>
          <w:szCs w:val="26"/>
        </w:rPr>
        <w:t>o</w:t>
      </w:r>
      <w:r w:rsidR="000F6AFB" w:rsidRPr="005C79A3">
        <w:rPr>
          <w:rFonts w:ascii="Arial" w:hAnsi="Arial" w:cs="Arial"/>
          <w:color w:val="7F7F7F" w:themeColor="text1" w:themeTint="80"/>
          <w:szCs w:val="26"/>
        </w:rPr>
        <w:t>n</w:t>
      </w:r>
      <w:r w:rsidR="00545919" w:rsidRPr="005C79A3">
        <w:rPr>
          <w:rFonts w:ascii="Arial" w:hAnsi="Arial" w:cs="Arial"/>
          <w:color w:val="7F7F7F" w:themeColor="text1" w:themeTint="80"/>
          <w:szCs w:val="26"/>
        </w:rPr>
        <w:t xml:space="preserve"> por recibido</w:t>
      </w:r>
      <w:r w:rsidR="000F6AFB" w:rsidRPr="005C79A3">
        <w:rPr>
          <w:rFonts w:ascii="Arial" w:hAnsi="Arial" w:cs="Arial"/>
          <w:color w:val="7F7F7F" w:themeColor="text1" w:themeTint="80"/>
          <w:szCs w:val="26"/>
        </w:rPr>
        <w:t>s</w:t>
      </w:r>
      <w:r w:rsidR="00545919" w:rsidRPr="005C79A3">
        <w:rPr>
          <w:rFonts w:ascii="Arial" w:hAnsi="Arial" w:cs="Arial"/>
          <w:color w:val="7F7F7F" w:themeColor="text1" w:themeTint="80"/>
          <w:szCs w:val="26"/>
        </w:rPr>
        <w:t xml:space="preserve"> en </w:t>
      </w:r>
      <w:r w:rsidR="00467BF1" w:rsidRPr="005C79A3">
        <w:rPr>
          <w:rFonts w:ascii="Arial" w:hAnsi="Arial" w:cs="Arial"/>
          <w:color w:val="7F7F7F" w:themeColor="text1" w:themeTint="80"/>
          <w:szCs w:val="26"/>
        </w:rPr>
        <w:lastRenderedPageBreak/>
        <w:t>tiempo</w:t>
      </w:r>
      <w:r w:rsidR="00EA4EC8" w:rsidRPr="005C79A3">
        <w:rPr>
          <w:rFonts w:ascii="Arial" w:hAnsi="Arial" w:cs="Arial"/>
          <w:color w:val="7F7F7F" w:themeColor="text1" w:themeTint="80"/>
          <w:szCs w:val="26"/>
        </w:rPr>
        <w:t>,</w:t>
      </w:r>
      <w:r w:rsidR="00545919" w:rsidRPr="005C79A3">
        <w:rPr>
          <w:rFonts w:ascii="Arial" w:hAnsi="Arial" w:cs="Arial"/>
          <w:color w:val="7F7F7F" w:themeColor="text1" w:themeTint="80"/>
          <w:szCs w:val="26"/>
        </w:rPr>
        <w:t xml:space="preserve"> acorde a la </w:t>
      </w:r>
      <w:r w:rsidR="00092EBF" w:rsidRPr="005C79A3">
        <w:rPr>
          <w:rFonts w:ascii="Arial" w:hAnsi="Arial" w:cs="Arial"/>
          <w:color w:val="7F7F7F" w:themeColor="text1" w:themeTint="80"/>
          <w:szCs w:val="26"/>
        </w:rPr>
        <w:t>c</w:t>
      </w:r>
      <w:r w:rsidR="00EA67BA" w:rsidRPr="005C79A3">
        <w:rPr>
          <w:rFonts w:ascii="Arial" w:hAnsi="Arial" w:cs="Arial"/>
          <w:color w:val="7F7F7F" w:themeColor="text1" w:themeTint="80"/>
          <w:szCs w:val="26"/>
        </w:rPr>
        <w:t xml:space="preserve">ertificación </w:t>
      </w:r>
      <w:r w:rsidR="000F6AFB" w:rsidRPr="005C79A3">
        <w:rPr>
          <w:rFonts w:ascii="Arial" w:hAnsi="Arial" w:cs="Arial"/>
          <w:color w:val="7F7F7F" w:themeColor="text1" w:themeTint="80"/>
          <w:szCs w:val="26"/>
        </w:rPr>
        <w:t>que obra a foja 46</w:t>
      </w:r>
      <w:r w:rsidR="00545919" w:rsidRPr="005C79A3">
        <w:rPr>
          <w:rFonts w:ascii="Arial" w:hAnsi="Arial" w:cs="Arial"/>
          <w:color w:val="7F7F7F" w:themeColor="text1" w:themeTint="80"/>
          <w:szCs w:val="26"/>
        </w:rPr>
        <w:t xml:space="preserve"> del presente sumario, por lo que el ente obligado realizó las manifes</w:t>
      </w:r>
      <w:r w:rsidR="00FA039E" w:rsidRPr="005C79A3">
        <w:rPr>
          <w:rFonts w:ascii="Arial" w:hAnsi="Arial" w:cs="Arial"/>
          <w:color w:val="7F7F7F" w:themeColor="text1" w:themeTint="80"/>
          <w:szCs w:val="26"/>
        </w:rPr>
        <w:t>taciones que a su derecho estimó</w:t>
      </w:r>
      <w:r w:rsidR="00467BF1" w:rsidRPr="005C79A3">
        <w:rPr>
          <w:rFonts w:ascii="Arial" w:hAnsi="Arial" w:cs="Arial"/>
          <w:color w:val="7F7F7F" w:themeColor="text1" w:themeTint="80"/>
          <w:szCs w:val="26"/>
        </w:rPr>
        <w:t xml:space="preserve"> conve</w:t>
      </w:r>
      <w:r w:rsidR="00467BF1" w:rsidRPr="005C79A3">
        <w:rPr>
          <w:rFonts w:ascii="Arial" w:hAnsi="Arial" w:cs="Arial"/>
          <w:color w:val="7F7F7F" w:themeColor="text1" w:themeTint="80"/>
          <w:sz w:val="24"/>
        </w:rPr>
        <w:t>niente</w:t>
      </w:r>
      <w:r w:rsidR="000050A2" w:rsidRPr="005C79A3">
        <w:rPr>
          <w:rFonts w:ascii="Arial" w:hAnsi="Arial" w:cs="Arial"/>
          <w:color w:val="7F7F7F" w:themeColor="text1" w:themeTint="80"/>
          <w:sz w:val="24"/>
        </w:rPr>
        <w:t>.</w:t>
      </w:r>
    </w:p>
    <w:p w:rsidR="00547C44" w:rsidRPr="005C79A3" w:rsidRDefault="00547C44" w:rsidP="00B91518">
      <w:pPr>
        <w:rPr>
          <w:rFonts w:ascii="Arial" w:hAnsi="Arial" w:cs="Arial"/>
          <w:color w:val="7F7F7F" w:themeColor="text1" w:themeTint="80"/>
          <w:szCs w:val="26"/>
        </w:rPr>
      </w:pPr>
      <w:r w:rsidRPr="005C79A3">
        <w:rPr>
          <w:rFonts w:ascii="Arial" w:hAnsi="Arial" w:cs="Arial"/>
          <w:color w:val="7F7F7F" w:themeColor="text1" w:themeTint="80"/>
          <w:sz w:val="24"/>
        </w:rPr>
        <w:tab/>
      </w:r>
      <w:r w:rsidRPr="005C79A3">
        <w:rPr>
          <w:rFonts w:ascii="Arial" w:hAnsi="Arial" w:cs="Arial"/>
          <w:color w:val="7F7F7F" w:themeColor="text1" w:themeTint="80"/>
          <w:szCs w:val="26"/>
        </w:rPr>
        <w:t xml:space="preserve">Por lo que toca al </w:t>
      </w:r>
      <w:r w:rsidR="00545919" w:rsidRPr="005C79A3">
        <w:rPr>
          <w:rFonts w:ascii="Arial" w:hAnsi="Arial" w:cs="Arial"/>
          <w:color w:val="7F7F7F" w:themeColor="text1" w:themeTint="80"/>
          <w:szCs w:val="26"/>
        </w:rPr>
        <w:t>inconforme</w:t>
      </w:r>
      <w:r w:rsidRPr="005C79A3">
        <w:rPr>
          <w:rFonts w:ascii="Arial" w:hAnsi="Arial" w:cs="Arial"/>
          <w:color w:val="7F7F7F" w:themeColor="text1" w:themeTint="80"/>
          <w:szCs w:val="26"/>
        </w:rPr>
        <w:t>, éste no hizo uso de su derecho contenido en el artículo 174, fracción III de la Ley de Transparencia del Estado.</w:t>
      </w:r>
    </w:p>
    <w:p w:rsidR="005C273C" w:rsidRPr="005C79A3" w:rsidRDefault="00547C44" w:rsidP="00B91518">
      <w:pPr>
        <w:spacing w:before="240"/>
        <w:rPr>
          <w:rFonts w:ascii="Arial" w:hAnsi="Arial" w:cs="Arial"/>
          <w:color w:val="7F7F7F" w:themeColor="text1" w:themeTint="80"/>
          <w:szCs w:val="26"/>
        </w:rPr>
      </w:pPr>
      <w:r w:rsidRPr="005C79A3">
        <w:rPr>
          <w:rFonts w:ascii="Arial" w:hAnsi="Arial" w:cs="Arial"/>
          <w:color w:val="7F7F7F" w:themeColor="text1" w:themeTint="80"/>
          <w:szCs w:val="26"/>
        </w:rPr>
        <w:tab/>
      </w:r>
      <w:r w:rsidRPr="005C79A3">
        <w:rPr>
          <w:rFonts w:ascii="Arial" w:hAnsi="Arial" w:cs="Arial"/>
          <w:b/>
          <w:color w:val="7F7F7F" w:themeColor="text1" w:themeTint="80"/>
          <w:szCs w:val="26"/>
        </w:rPr>
        <w:t xml:space="preserve">SEPTIMO. Cierre de Instrucción. </w:t>
      </w:r>
      <w:r w:rsidRPr="005C79A3">
        <w:rPr>
          <w:rFonts w:ascii="Arial" w:hAnsi="Arial" w:cs="Arial"/>
          <w:color w:val="7F7F7F" w:themeColor="text1" w:themeTint="80"/>
          <w:szCs w:val="26"/>
        </w:rPr>
        <w:t xml:space="preserve">El </w:t>
      </w:r>
      <w:r w:rsidR="00846E60" w:rsidRPr="005C79A3">
        <w:rPr>
          <w:rFonts w:ascii="Arial" w:hAnsi="Arial" w:cs="Arial"/>
          <w:color w:val="7F7F7F" w:themeColor="text1" w:themeTint="80"/>
          <w:szCs w:val="26"/>
        </w:rPr>
        <w:t>veinte</w:t>
      </w:r>
      <w:r w:rsidR="00A97B1F" w:rsidRPr="005C79A3">
        <w:rPr>
          <w:rFonts w:ascii="Arial" w:hAnsi="Arial" w:cs="Arial"/>
          <w:color w:val="7F7F7F" w:themeColor="text1" w:themeTint="80"/>
          <w:szCs w:val="26"/>
        </w:rPr>
        <w:t xml:space="preserve"> de marzo</w:t>
      </w:r>
      <w:r w:rsidR="00412DE5" w:rsidRPr="005C79A3">
        <w:rPr>
          <w:rFonts w:ascii="Arial" w:hAnsi="Arial" w:cs="Arial"/>
          <w:color w:val="7F7F7F" w:themeColor="text1" w:themeTint="80"/>
          <w:szCs w:val="26"/>
        </w:rPr>
        <w:t xml:space="preserve"> de dos mil dieciocho</w:t>
      </w:r>
      <w:r w:rsidRPr="005C79A3">
        <w:rPr>
          <w:rFonts w:ascii="Arial" w:hAnsi="Arial" w:cs="Arial"/>
          <w:color w:val="7F7F7F" w:themeColor="text1" w:themeTint="80"/>
          <w:szCs w:val="26"/>
        </w:rPr>
        <w:t>, se decretó el Cierre de Instrucción del expediente formado con motivo del presente recurso de revisión, a fin de que la ponente presentara el proyecto de resolución correspondiente.</w:t>
      </w:r>
    </w:p>
    <w:p w:rsidR="004602D7" w:rsidRPr="005C79A3" w:rsidRDefault="00547C44" w:rsidP="00B91518">
      <w:pPr>
        <w:spacing w:before="240"/>
        <w:jc w:val="center"/>
        <w:outlineLvl w:val="0"/>
        <w:rPr>
          <w:rFonts w:ascii="Arial" w:hAnsi="Arial" w:cs="Arial"/>
          <w:b/>
          <w:color w:val="7F7F7F" w:themeColor="text1" w:themeTint="80"/>
          <w:szCs w:val="26"/>
        </w:rPr>
      </w:pPr>
      <w:r w:rsidRPr="005C79A3">
        <w:rPr>
          <w:rFonts w:ascii="Arial" w:hAnsi="Arial" w:cs="Arial"/>
          <w:b/>
          <w:color w:val="7F7F7F" w:themeColor="text1" w:themeTint="80"/>
          <w:szCs w:val="26"/>
        </w:rPr>
        <w:t>C O N S I D E R A N D O</w:t>
      </w:r>
    </w:p>
    <w:p w:rsidR="00462354" w:rsidRPr="005C79A3" w:rsidRDefault="00547C44" w:rsidP="00B91518">
      <w:pPr>
        <w:pStyle w:val="Textoindependienteprimerasangra"/>
        <w:spacing w:after="0"/>
        <w:ind w:firstLine="900"/>
        <w:rPr>
          <w:rFonts w:ascii="Arial" w:hAnsi="Arial" w:cs="Arial"/>
          <w:color w:val="7F7F7F" w:themeColor="text1" w:themeTint="80"/>
          <w:szCs w:val="26"/>
        </w:rPr>
      </w:pPr>
      <w:r w:rsidRPr="005C79A3">
        <w:rPr>
          <w:rFonts w:ascii="Arial" w:eastAsia="Arial Unicode MS" w:hAnsi="Arial" w:cs="Arial"/>
          <w:b/>
          <w:color w:val="7F7F7F" w:themeColor="text1" w:themeTint="80"/>
          <w:szCs w:val="26"/>
        </w:rPr>
        <w:t>PRIMERO. Competencia.</w:t>
      </w:r>
      <w:r w:rsidRPr="005C79A3">
        <w:rPr>
          <w:rFonts w:ascii="Arial" w:eastAsia="Arial Unicode MS" w:hAnsi="Arial" w:cs="Arial"/>
          <w:color w:val="7F7F7F" w:themeColor="text1" w:themeTint="80"/>
          <w:szCs w:val="26"/>
        </w:rPr>
        <w:t xml:space="preserve"> El Pleno de esta Comisión Estatal de Garantía de Acceso a la Información Pública es competente para resolver el presente recurso de revisión de conformidad c</w:t>
      </w:r>
      <w:r w:rsidR="00A60313" w:rsidRPr="005C79A3">
        <w:rPr>
          <w:rFonts w:ascii="Arial" w:eastAsia="Arial Unicode MS" w:hAnsi="Arial" w:cs="Arial"/>
          <w:color w:val="7F7F7F" w:themeColor="text1" w:themeTint="80"/>
          <w:szCs w:val="26"/>
        </w:rPr>
        <w:t>on los artículos 6°, apartado A</w:t>
      </w:r>
      <w:r w:rsidRPr="005C79A3">
        <w:rPr>
          <w:rFonts w:ascii="Arial" w:eastAsia="Arial Unicode MS" w:hAnsi="Arial" w:cs="Arial"/>
          <w:color w:val="7F7F7F" w:themeColor="text1" w:themeTint="80"/>
          <w:szCs w:val="26"/>
        </w:rPr>
        <w:t>,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w:t>
      </w:r>
      <w:r w:rsidR="00462354" w:rsidRPr="005C79A3">
        <w:rPr>
          <w:rFonts w:ascii="Arial" w:eastAsia="Arial Unicode MS" w:hAnsi="Arial" w:cs="Arial"/>
          <w:color w:val="7F7F7F" w:themeColor="text1" w:themeTint="80"/>
          <w:szCs w:val="26"/>
        </w:rPr>
        <w:t>a del Estado de San Luis Potosí; así como de los artículos 1°, 2°, 9°, 12, fracciones XI y XXV del Reglamento Interior de la Comisión Estatal de Garantía de Acceso a la Información Pública.</w:t>
      </w:r>
    </w:p>
    <w:p w:rsidR="00EE226A" w:rsidRPr="005C79A3" w:rsidRDefault="0072714A" w:rsidP="00B91518">
      <w:pPr>
        <w:pStyle w:val="Textoindependienteprimerasangra"/>
        <w:spacing w:before="240"/>
        <w:ind w:firstLine="900"/>
        <w:rPr>
          <w:rFonts w:ascii="Arial" w:eastAsia="Arial Unicode MS" w:hAnsi="Arial" w:cs="Arial"/>
          <w:color w:val="7F7F7F" w:themeColor="text1" w:themeTint="80"/>
          <w:szCs w:val="26"/>
        </w:rPr>
      </w:pPr>
      <w:r w:rsidRPr="005C79A3">
        <w:rPr>
          <w:rFonts w:ascii="Arial" w:eastAsia="Arial Unicode MS" w:hAnsi="Arial" w:cs="Arial"/>
          <w:b/>
          <w:color w:val="7F7F7F" w:themeColor="text1" w:themeTint="80"/>
          <w:szCs w:val="26"/>
        </w:rPr>
        <w:t xml:space="preserve">SEGUNDO. Procedibilidad y Oportunidad. </w:t>
      </w:r>
      <w:r w:rsidRPr="005C79A3">
        <w:rPr>
          <w:rFonts w:ascii="Arial" w:eastAsia="Arial Unicode MS" w:hAnsi="Arial" w:cs="Arial"/>
          <w:color w:val="7F7F7F" w:themeColor="text1" w:themeTint="80"/>
          <w:szCs w:val="26"/>
        </w:rPr>
        <w:t>Previo al estudio de fondo del asunto, se procede a analizar los requisitos de oportunidad y procedibilidad que debe reunir el presente medio de impugnación, los cuales están previstos en los artículos 166 y 168 de la Ley de Transparencia y Acceso a la Información Pública del Estado de San Luis Potosí.</w:t>
      </w:r>
    </w:p>
    <w:p w:rsidR="00EA67BA" w:rsidRPr="005C79A3" w:rsidRDefault="00EA67BA" w:rsidP="00B91518">
      <w:pPr>
        <w:pStyle w:val="Textoindependienteprimerasangra"/>
        <w:spacing w:before="240"/>
        <w:ind w:firstLine="900"/>
        <w:rPr>
          <w:rFonts w:ascii="Arial" w:eastAsia="Arial Unicode MS" w:hAnsi="Arial" w:cs="Arial"/>
          <w:color w:val="7F7F7F" w:themeColor="text1" w:themeTint="80"/>
          <w:szCs w:val="26"/>
        </w:rPr>
      </w:pPr>
      <w:r w:rsidRPr="005C79A3">
        <w:rPr>
          <w:rFonts w:ascii="Arial" w:eastAsia="Arial Unicode MS" w:hAnsi="Arial" w:cs="Arial"/>
          <w:color w:val="7F7F7F" w:themeColor="text1" w:themeTint="80"/>
          <w:szCs w:val="26"/>
        </w:rPr>
        <w:t xml:space="preserve">El recurso de revisión fue interpuesto dentro del plazo de quince días hábiles, previsto en el artículo 166 de la Ley de Transparencia y </w:t>
      </w:r>
      <w:r w:rsidRPr="005C79A3">
        <w:rPr>
          <w:rFonts w:ascii="Arial" w:eastAsia="Arial Unicode MS" w:hAnsi="Arial" w:cs="Arial"/>
          <w:color w:val="7F7F7F" w:themeColor="text1" w:themeTint="80"/>
          <w:szCs w:val="26"/>
        </w:rPr>
        <w:lastRenderedPageBreak/>
        <w:t xml:space="preserve">Acceso a la Información Pública del Estado; lo anterior se afirma, </w:t>
      </w:r>
      <w:r w:rsidR="00D21FF3" w:rsidRPr="005C79A3">
        <w:rPr>
          <w:rFonts w:ascii="Arial" w:eastAsia="Arial Unicode MS" w:hAnsi="Arial" w:cs="Arial"/>
          <w:color w:val="7F7F7F" w:themeColor="text1" w:themeTint="80"/>
          <w:szCs w:val="26"/>
        </w:rPr>
        <w:t xml:space="preserve">ya que </w:t>
      </w:r>
      <w:r w:rsidRPr="005C79A3">
        <w:rPr>
          <w:rFonts w:ascii="Arial" w:eastAsia="Arial Unicode MS" w:hAnsi="Arial" w:cs="Arial"/>
          <w:color w:val="7F7F7F" w:themeColor="text1" w:themeTint="80"/>
          <w:szCs w:val="26"/>
        </w:rPr>
        <w:t xml:space="preserve">el ente obligado notificó la contestación a la solicitud de información, el </w:t>
      </w:r>
      <w:r w:rsidR="002C0A19" w:rsidRPr="005C79A3">
        <w:rPr>
          <w:rFonts w:ascii="Arial" w:eastAsia="Arial Unicode MS" w:hAnsi="Arial" w:cs="Arial"/>
          <w:color w:val="7F7F7F" w:themeColor="text1" w:themeTint="80"/>
          <w:szCs w:val="26"/>
        </w:rPr>
        <w:t>tres</w:t>
      </w:r>
      <w:r w:rsidR="00846E60" w:rsidRPr="005C79A3">
        <w:rPr>
          <w:rFonts w:ascii="Arial" w:eastAsia="Arial Unicode MS" w:hAnsi="Arial" w:cs="Arial"/>
          <w:color w:val="7F7F7F" w:themeColor="text1" w:themeTint="80"/>
          <w:szCs w:val="26"/>
        </w:rPr>
        <w:t xml:space="preserve"> de febrero</w:t>
      </w:r>
      <w:r w:rsidR="00412DE5" w:rsidRPr="005C79A3">
        <w:rPr>
          <w:rFonts w:ascii="Arial" w:eastAsia="Arial Unicode MS" w:hAnsi="Arial" w:cs="Arial"/>
          <w:color w:val="7F7F7F" w:themeColor="text1" w:themeTint="80"/>
          <w:szCs w:val="26"/>
        </w:rPr>
        <w:t xml:space="preserve"> de dos mil dieciocho</w:t>
      </w:r>
      <w:r w:rsidRPr="005C79A3">
        <w:rPr>
          <w:rFonts w:ascii="Arial" w:eastAsia="Arial Unicode MS" w:hAnsi="Arial" w:cs="Arial"/>
          <w:color w:val="7F7F7F" w:themeColor="text1" w:themeTint="80"/>
          <w:szCs w:val="26"/>
        </w:rPr>
        <w:t xml:space="preserve">, </w:t>
      </w:r>
      <w:r w:rsidR="00D21FF3" w:rsidRPr="005C79A3">
        <w:rPr>
          <w:rFonts w:ascii="Arial" w:eastAsia="Arial Unicode MS" w:hAnsi="Arial" w:cs="Arial"/>
          <w:color w:val="7F7F7F" w:themeColor="text1" w:themeTint="80"/>
          <w:szCs w:val="26"/>
        </w:rPr>
        <w:t xml:space="preserve">por lo que el plazo para que el recurrente interpusiera el presente medio de defensa, </w:t>
      </w:r>
      <w:r w:rsidRPr="005C79A3">
        <w:rPr>
          <w:rFonts w:ascii="Arial" w:eastAsia="Arial Unicode MS" w:hAnsi="Arial" w:cs="Arial"/>
          <w:color w:val="7F7F7F" w:themeColor="text1" w:themeTint="80"/>
          <w:szCs w:val="26"/>
        </w:rPr>
        <w:t xml:space="preserve">fenecía el </w:t>
      </w:r>
      <w:r w:rsidR="002C0A19" w:rsidRPr="005C79A3">
        <w:rPr>
          <w:rFonts w:ascii="Arial" w:eastAsia="Arial Unicode MS" w:hAnsi="Arial" w:cs="Arial"/>
          <w:color w:val="7F7F7F" w:themeColor="text1" w:themeTint="80"/>
          <w:szCs w:val="26"/>
        </w:rPr>
        <w:t xml:space="preserve">veintiséis </w:t>
      </w:r>
      <w:r w:rsidR="00A97B1F" w:rsidRPr="005C79A3">
        <w:rPr>
          <w:rFonts w:ascii="Arial" w:eastAsia="Arial Unicode MS" w:hAnsi="Arial" w:cs="Arial"/>
          <w:color w:val="7F7F7F" w:themeColor="text1" w:themeTint="80"/>
          <w:szCs w:val="26"/>
        </w:rPr>
        <w:t>de febrero</w:t>
      </w:r>
      <w:r w:rsidR="00EE226A" w:rsidRPr="005C79A3">
        <w:rPr>
          <w:rFonts w:ascii="Arial" w:eastAsia="Arial Unicode MS" w:hAnsi="Arial" w:cs="Arial"/>
          <w:color w:val="7F7F7F" w:themeColor="text1" w:themeTint="80"/>
          <w:szCs w:val="26"/>
        </w:rPr>
        <w:t xml:space="preserve"> de </w:t>
      </w:r>
      <w:r w:rsidR="00BE6EB8" w:rsidRPr="005C79A3">
        <w:rPr>
          <w:rFonts w:ascii="Arial" w:eastAsia="Arial Unicode MS" w:hAnsi="Arial" w:cs="Arial"/>
          <w:color w:val="7F7F7F" w:themeColor="text1" w:themeTint="80"/>
          <w:szCs w:val="26"/>
        </w:rPr>
        <w:t>dos mil dieciocho</w:t>
      </w:r>
      <w:r w:rsidR="00D21FF3" w:rsidRPr="005C79A3">
        <w:rPr>
          <w:rFonts w:ascii="Arial" w:eastAsia="Arial Unicode MS" w:hAnsi="Arial" w:cs="Arial"/>
          <w:color w:val="7F7F7F" w:themeColor="text1" w:themeTint="80"/>
          <w:szCs w:val="26"/>
        </w:rPr>
        <w:t xml:space="preserve">; </w:t>
      </w:r>
      <w:r w:rsidRPr="005C79A3">
        <w:rPr>
          <w:rFonts w:ascii="Arial" w:eastAsia="Arial Unicode MS" w:hAnsi="Arial" w:cs="Arial"/>
          <w:color w:val="7F7F7F" w:themeColor="text1" w:themeTint="80"/>
          <w:szCs w:val="26"/>
        </w:rPr>
        <w:t xml:space="preserve">por lo que al interponer el presente medio de impugnación el </w:t>
      </w:r>
      <w:r w:rsidR="002C0A19" w:rsidRPr="005C79A3">
        <w:rPr>
          <w:rFonts w:ascii="Arial" w:eastAsia="Arial Unicode MS" w:hAnsi="Arial" w:cs="Arial"/>
          <w:color w:val="7F7F7F" w:themeColor="text1" w:themeTint="80"/>
          <w:szCs w:val="26"/>
        </w:rPr>
        <w:t xml:space="preserve">dieciséis </w:t>
      </w:r>
      <w:r w:rsidR="006658C4" w:rsidRPr="005C79A3">
        <w:rPr>
          <w:rFonts w:ascii="Arial" w:eastAsia="Arial Unicode MS" w:hAnsi="Arial" w:cs="Arial"/>
          <w:color w:val="7F7F7F" w:themeColor="text1" w:themeTint="80"/>
          <w:szCs w:val="26"/>
        </w:rPr>
        <w:t>de febrero</w:t>
      </w:r>
      <w:r w:rsidR="00EE226A" w:rsidRPr="005C79A3">
        <w:rPr>
          <w:rFonts w:ascii="Arial" w:eastAsia="Arial Unicode MS" w:hAnsi="Arial" w:cs="Arial"/>
          <w:color w:val="7F7F7F" w:themeColor="text1" w:themeTint="80"/>
          <w:szCs w:val="26"/>
        </w:rPr>
        <w:t xml:space="preserve"> </w:t>
      </w:r>
      <w:r w:rsidRPr="005C79A3">
        <w:rPr>
          <w:rFonts w:ascii="Arial" w:eastAsia="Arial Unicode MS" w:hAnsi="Arial" w:cs="Arial"/>
          <w:color w:val="7F7F7F" w:themeColor="text1" w:themeTint="80"/>
          <w:szCs w:val="26"/>
        </w:rPr>
        <w:t>del año en curso, se advierte que se presentó dentro del plazo reconocido por el numeral</w:t>
      </w:r>
      <w:r w:rsidRPr="005C79A3">
        <w:rPr>
          <w:rFonts w:ascii="Arial" w:hAnsi="Arial" w:cs="Arial"/>
          <w:color w:val="7F7F7F" w:themeColor="text1" w:themeTint="80"/>
          <w:szCs w:val="26"/>
          <w:lang w:val="es-MX"/>
        </w:rPr>
        <w:t xml:space="preserve"> </w:t>
      </w:r>
      <w:r w:rsidR="00EE226A" w:rsidRPr="005C79A3">
        <w:rPr>
          <w:rFonts w:ascii="Arial" w:hAnsi="Arial" w:cs="Arial"/>
          <w:color w:val="7F7F7F" w:themeColor="text1" w:themeTint="80"/>
          <w:szCs w:val="26"/>
          <w:lang w:val="es-MX"/>
        </w:rPr>
        <w:t>aludido</w:t>
      </w:r>
      <w:r w:rsidRPr="005C79A3">
        <w:rPr>
          <w:rFonts w:ascii="Arial" w:hAnsi="Arial" w:cs="Arial"/>
          <w:color w:val="7F7F7F" w:themeColor="text1" w:themeTint="80"/>
          <w:szCs w:val="26"/>
          <w:lang w:val="es-MX"/>
        </w:rPr>
        <w:t>, por lo que se concluye que se encuentra dentro de los márgenes temporales previstos en el citado precepto legal.</w:t>
      </w:r>
    </w:p>
    <w:p w:rsidR="0072714A" w:rsidRPr="005C79A3" w:rsidRDefault="0072714A" w:rsidP="00B91518">
      <w:pPr>
        <w:pStyle w:val="Textoindependienteprimerasangra"/>
        <w:spacing w:before="240"/>
        <w:ind w:firstLine="900"/>
        <w:rPr>
          <w:rFonts w:ascii="Arial" w:hAnsi="Arial" w:cs="Arial"/>
          <w:color w:val="7F7F7F" w:themeColor="text1" w:themeTint="80"/>
          <w:szCs w:val="26"/>
          <w:lang w:val="es-MX"/>
        </w:rPr>
      </w:pPr>
      <w:r w:rsidRPr="005C79A3">
        <w:rPr>
          <w:rFonts w:ascii="Arial" w:hAnsi="Arial" w:cs="Arial"/>
          <w:color w:val="7F7F7F" w:themeColor="text1" w:themeTint="80"/>
          <w:szCs w:val="26"/>
          <w:lang w:val="es-MX"/>
        </w:rPr>
        <w:t>Asimismo, tras la revisión del escrito de interposición, se concluye que se acreditan de manera satisfactoria los extremos a que alude el artículo 168 de la Ley de Transparencia y Acceso a la Información Pública del Estado de San Luis Potosí.</w:t>
      </w:r>
    </w:p>
    <w:p w:rsidR="006658C4" w:rsidRPr="005C79A3" w:rsidRDefault="006658C4" w:rsidP="006658C4">
      <w:pPr>
        <w:pStyle w:val="Textoindependienteprimerasangra"/>
        <w:spacing w:before="240"/>
        <w:ind w:firstLine="900"/>
        <w:rPr>
          <w:rFonts w:ascii="Arial" w:hAnsi="Arial" w:cs="Arial"/>
          <w:color w:val="7F7F7F" w:themeColor="text1" w:themeTint="80"/>
          <w:lang w:val="es-MX"/>
        </w:rPr>
      </w:pPr>
      <w:r w:rsidRPr="005C79A3">
        <w:rPr>
          <w:rFonts w:ascii="Arial" w:hAnsi="Arial" w:cs="Arial"/>
          <w:b/>
          <w:color w:val="7F7F7F" w:themeColor="text1" w:themeTint="80"/>
          <w:lang w:val="es-MX"/>
        </w:rPr>
        <w:t>TERCERO. Estudio y resolución del asunto.</w:t>
      </w:r>
      <w:r w:rsidRPr="005C79A3">
        <w:rPr>
          <w:rFonts w:ascii="Arial" w:hAnsi="Arial" w:cs="Arial"/>
          <w:color w:val="7F7F7F" w:themeColor="text1" w:themeTint="80"/>
          <w:lang w:val="es-MX"/>
        </w:rPr>
        <w:t xml:space="preserve"> Esta Comisión procede, con fundamento en el artículo 144, fracción VI, de la Ley General de Transparencia y Acceso a la Información Pública, al estudio de la inconformidad p</w:t>
      </w:r>
      <w:r w:rsidR="002C0A19" w:rsidRPr="005C79A3">
        <w:rPr>
          <w:rFonts w:ascii="Arial" w:hAnsi="Arial" w:cs="Arial"/>
          <w:color w:val="7F7F7F" w:themeColor="text1" w:themeTint="80"/>
          <w:lang w:val="es-MX"/>
        </w:rPr>
        <w:t>la</w:t>
      </w:r>
      <w:r w:rsidR="007E4FF2" w:rsidRPr="005C79A3">
        <w:rPr>
          <w:rFonts w:ascii="Arial" w:hAnsi="Arial" w:cs="Arial"/>
          <w:color w:val="7F7F7F" w:themeColor="text1" w:themeTint="80"/>
          <w:lang w:val="es-MX"/>
        </w:rPr>
        <w:t>nteada por el hoy recurrente en la que afirma que aquello que fue solicitado no encuadra en la presunta causal de reserva invocada por el sujeto obligado.</w:t>
      </w:r>
    </w:p>
    <w:p w:rsidR="00DF7017" w:rsidRPr="005C79A3" w:rsidRDefault="00DF7017" w:rsidP="00DF7017">
      <w:pPr>
        <w:pStyle w:val="Textoindependienteprimerasangra"/>
        <w:spacing w:before="240"/>
        <w:ind w:firstLine="900"/>
        <w:rPr>
          <w:rFonts w:ascii="Arial" w:hAnsi="Arial" w:cs="Arial"/>
          <w:color w:val="7F7F7F" w:themeColor="text1" w:themeTint="80"/>
          <w:lang w:val="es-MX"/>
        </w:rPr>
      </w:pPr>
      <w:r w:rsidRPr="005C79A3">
        <w:rPr>
          <w:rFonts w:ascii="Arial" w:hAnsi="Arial" w:cs="Arial"/>
          <w:color w:val="7F7F7F" w:themeColor="text1" w:themeTint="80"/>
          <w:lang w:val="es-MX"/>
        </w:rPr>
        <w:t>Del análisis de la inconformidad, esta Comisión estima que la misma resulta parcialmente fundada, toda vez que, como se logra apreciar, el sujeto obligado, al momento de llevar a cabo la clasificación de la información, no se ajustó a los términos que establece la Ley de Transparencia y Acceso a la Información Pública del Estado, puesto que no observó las consideraciones de forma y fondo que sustentan una determinación como la que pretendió hacer valer.</w:t>
      </w:r>
    </w:p>
    <w:p w:rsidR="00DF7017" w:rsidRPr="005C79A3" w:rsidRDefault="00DF7017" w:rsidP="00DF7017">
      <w:pPr>
        <w:pStyle w:val="Textoindependienteprimerasangra"/>
        <w:spacing w:before="240"/>
        <w:ind w:firstLine="900"/>
        <w:rPr>
          <w:rFonts w:ascii="Arial" w:hAnsi="Arial" w:cs="Arial"/>
          <w:color w:val="7F7F7F" w:themeColor="text1" w:themeTint="80"/>
          <w:lang w:val="es-MX"/>
        </w:rPr>
      </w:pPr>
      <w:r w:rsidRPr="005C79A3">
        <w:rPr>
          <w:rFonts w:ascii="Arial" w:hAnsi="Arial" w:cs="Arial"/>
          <w:color w:val="7F7F7F" w:themeColor="text1" w:themeTint="80"/>
          <w:lang w:val="es-MX"/>
        </w:rPr>
        <w:t xml:space="preserve">La respuesta emitida por el sujeto obligado el veinticinco de enero de dos mil dieciocho, notificada el primero de febrero de dos mil dieciocho, se fundamenta en la hipótesis establecida en el artículo 129, fracción X, de la Ley de Transparencia y Acceso a la Información Pública </w:t>
      </w:r>
      <w:r w:rsidRPr="005C79A3">
        <w:rPr>
          <w:rFonts w:ascii="Arial" w:hAnsi="Arial" w:cs="Arial"/>
          <w:color w:val="7F7F7F" w:themeColor="text1" w:themeTint="80"/>
          <w:lang w:val="es-MX"/>
        </w:rPr>
        <w:lastRenderedPageBreak/>
        <w:t>del Estado, y por él se  pretendió clasificar la información materia de la solicitud de información.</w:t>
      </w:r>
    </w:p>
    <w:p w:rsidR="00DF7017" w:rsidRPr="005C79A3" w:rsidRDefault="00DF7017" w:rsidP="00DF7017">
      <w:pPr>
        <w:pStyle w:val="Textoindependienteprimerasangra"/>
        <w:spacing w:before="240"/>
        <w:ind w:firstLine="900"/>
        <w:rPr>
          <w:rFonts w:ascii="Arial" w:hAnsi="Arial" w:cs="Arial"/>
          <w:color w:val="7F7F7F" w:themeColor="text1" w:themeTint="80"/>
          <w:lang w:val="es-MX"/>
        </w:rPr>
      </w:pPr>
      <w:r w:rsidRPr="005C79A3">
        <w:rPr>
          <w:rFonts w:ascii="Arial" w:hAnsi="Arial" w:cs="Arial"/>
          <w:color w:val="7F7F7F" w:themeColor="text1" w:themeTint="80"/>
          <w:lang w:val="es-MX"/>
        </w:rPr>
        <w:t xml:space="preserve">De conformidad con el artículo 2°, fracción VII, de la Ley General de Transparencia y Acceso a la Información Pública, una de sus finalidades es promover, fomentar y difundir la rendición de cuentas, la que debe ser entendida desde sus dos vertientes: la primera de ellas, consistente en determinar quién es el sujeto constreñido a rendir cuentas a la sociedad, y la segunda entendida como los alcances de ésta actividad dentro de la vida democrática del país. </w:t>
      </w:r>
    </w:p>
    <w:p w:rsidR="00DF7017" w:rsidRPr="005C79A3" w:rsidRDefault="00DF7017" w:rsidP="00DF7017">
      <w:pPr>
        <w:rPr>
          <w:rFonts w:ascii="Arial" w:hAnsi="Arial" w:cs="Arial"/>
          <w:color w:val="7F7F7F" w:themeColor="text1" w:themeTint="80"/>
        </w:rPr>
      </w:pPr>
      <w:r w:rsidRPr="005C79A3">
        <w:rPr>
          <w:rFonts w:ascii="Arial" w:hAnsi="Arial" w:cs="Arial"/>
          <w:color w:val="7F7F7F" w:themeColor="text1" w:themeTint="80"/>
        </w:rPr>
        <w:tab/>
        <w:t>Es importante destacar, que la rendición de cuentas se encuentra íntimamente relacionada con el principio de máxima publicidad, que conlleva realizar un manejo de la información bajo la premisa inicial de que toda ella es pública y sólo por excepción, en los casos expresamente previstos en la legislación secundaria y justificados bajo determinadas circunstancias, se podrá clasificar como confidencial o reservada. Para reforzar lo anterior, se invoca el criterio sustentado por el Cuarto Tribunal Colegiado en Materia Administrativa del Primer Circuito en la tesis aislada I.4o.A.40 A (10a.), misma que establece:</w:t>
      </w:r>
    </w:p>
    <w:p w:rsidR="00DF7017" w:rsidRPr="005C79A3" w:rsidRDefault="00DF7017" w:rsidP="00DF7017">
      <w:pPr>
        <w:spacing w:before="240" w:line="240" w:lineRule="auto"/>
        <w:ind w:left="851" w:firstLine="851"/>
        <w:rPr>
          <w:rFonts w:ascii="Arial" w:hAnsi="Arial" w:cs="Arial"/>
          <w:b/>
          <w:i/>
          <w:color w:val="7F7F7F" w:themeColor="text1" w:themeTint="80"/>
          <w:sz w:val="21"/>
          <w:szCs w:val="21"/>
        </w:rPr>
      </w:pPr>
      <w:r w:rsidRPr="005C79A3">
        <w:rPr>
          <w:rFonts w:ascii="Arial" w:hAnsi="Arial" w:cs="Arial"/>
          <w:b/>
          <w:i/>
          <w:color w:val="7F7F7F" w:themeColor="text1" w:themeTint="80"/>
          <w:sz w:val="21"/>
          <w:szCs w:val="21"/>
        </w:rPr>
        <w:t>ACCESO A LA INFORMACIÓN. IMPLICACIÓN DEL PRINCIPIO DE MÁXIMA PUBLICIDAD EN EL DERECHO FUNDAMENTAL RELATIVO.</w:t>
      </w:r>
    </w:p>
    <w:p w:rsidR="00DF7017" w:rsidRPr="005C79A3" w:rsidRDefault="00DF7017" w:rsidP="00DF7017">
      <w:pPr>
        <w:spacing w:line="240" w:lineRule="auto"/>
        <w:ind w:left="851" w:firstLine="851"/>
        <w:rPr>
          <w:rFonts w:ascii="Arial" w:hAnsi="Arial" w:cs="Arial"/>
          <w:i/>
          <w:color w:val="7F7F7F" w:themeColor="text1" w:themeTint="80"/>
          <w:sz w:val="21"/>
          <w:szCs w:val="21"/>
        </w:rPr>
      </w:pPr>
    </w:p>
    <w:p w:rsidR="00DF7017" w:rsidRPr="005C79A3" w:rsidRDefault="00DF7017" w:rsidP="00DF7017">
      <w:pPr>
        <w:spacing w:line="240" w:lineRule="auto"/>
        <w:ind w:left="851" w:firstLine="851"/>
        <w:rPr>
          <w:rFonts w:ascii="Arial" w:hAnsi="Arial" w:cs="Arial"/>
          <w:i/>
          <w:color w:val="7F7F7F" w:themeColor="text1" w:themeTint="80"/>
          <w:sz w:val="21"/>
          <w:szCs w:val="21"/>
        </w:rPr>
      </w:pPr>
      <w:r w:rsidRPr="005C79A3">
        <w:rPr>
          <w:rFonts w:ascii="Arial" w:hAnsi="Arial" w:cs="Arial"/>
          <w:i/>
          <w:color w:val="7F7F7F" w:themeColor="text1" w:themeTint="80"/>
          <w:sz w:val="21"/>
          <w:szCs w:val="21"/>
        </w:rPr>
        <w:t>Del artículo </w:t>
      </w:r>
      <w:hyperlink r:id="rId8" w:history="1">
        <w:r w:rsidRPr="005C79A3">
          <w:rPr>
            <w:rStyle w:val="Hipervnculo"/>
            <w:rFonts w:ascii="Arial" w:hAnsi="Arial" w:cs="Arial"/>
            <w:i/>
            <w:color w:val="7F7F7F" w:themeColor="text1" w:themeTint="80"/>
            <w:sz w:val="21"/>
            <w:szCs w:val="21"/>
          </w:rPr>
          <w:t>6o. de la Constitución Política de los Estados Unidos Mexicanos</w:t>
        </w:r>
      </w:hyperlink>
      <w:r w:rsidRPr="005C79A3">
        <w:rPr>
          <w:rFonts w:ascii="Arial" w:hAnsi="Arial" w:cs="Arial"/>
          <w:i/>
          <w:color w:val="7F7F7F" w:themeColor="text1" w:themeTint="80"/>
          <w:sz w:val="21"/>
          <w:szCs w:val="21"/>
        </w:rPr>
        <w:t> se advierte que el Estado Mexicano está constreñido a publicitar sus actos, pues se reconoce el derecho fundamental de los ciudadanos a acceder a la información que obra en poder de la autoridad, que como lo ha expuesto el Pleno de la Suprema Corte de Justicia de la Nación en la tesis P./J. 54/2008, publicada en el Semanario Judicial de la Federación y su Gaceta, Novena Época, Tomo XXVII, junio de 2008, página 743, de rubro: "</w:t>
      </w:r>
      <w:hyperlink r:id="rId9" w:tgtFrame="_popup" w:history="1">
        <w:r w:rsidRPr="005C79A3">
          <w:rPr>
            <w:rStyle w:val="Hipervnculo"/>
            <w:rFonts w:ascii="Arial" w:hAnsi="Arial" w:cs="Arial"/>
            <w:i/>
            <w:color w:val="7F7F7F" w:themeColor="text1" w:themeTint="80"/>
            <w:sz w:val="21"/>
            <w:szCs w:val="21"/>
          </w:rPr>
          <w:t>ACCESO A LA INFORMACIÓN. SU NATURALEZA COMO GARANTÍAS INDIVIDUAL Y SOCIAL</w:t>
        </w:r>
      </w:hyperlink>
      <w:r w:rsidRPr="005C79A3">
        <w:rPr>
          <w:rFonts w:ascii="Arial" w:hAnsi="Arial" w:cs="Arial"/>
          <w:i/>
          <w:color w:val="7F7F7F" w:themeColor="text1" w:themeTint="80"/>
          <w:sz w:val="21"/>
          <w:szCs w:val="21"/>
        </w:rPr>
        <w:t xml:space="preserve">.", contiene una doble dimensión: individual y social. En su primer aspecto, cumple con la función de maximizar el campo de la autonomía personal, posibilitando el ejercicio de la libertad de expresión en un contexto de mayor diversidad de datos, voces y opiniones, mientras que en el segundo, brinda un derecho colectivo o social que tiende a revelar el empleo instrumental de la información no sólo como factor de autorrealización personal, sino como un mecanismo de control institucional, pues se trata de un derecho fundado en una de las características principales del gobierno republicano, que es la publicidad de los actos de gobierno y la transparencia en el actuar de la administración, conducente y necesaria para la rendición de cuentas. Por ello, el principio de máxima publicidad incorporado en el texto constitucional, implica para cualquier autoridad, realizar un manejo de la información bajo la premisa inicial que toda ella es pública y sólo por excepción, en los casos expresamente previstos en la </w:t>
      </w:r>
      <w:r w:rsidRPr="005C79A3">
        <w:rPr>
          <w:rFonts w:ascii="Arial" w:hAnsi="Arial" w:cs="Arial"/>
          <w:i/>
          <w:color w:val="7F7F7F" w:themeColor="text1" w:themeTint="80"/>
          <w:sz w:val="21"/>
          <w:szCs w:val="21"/>
        </w:rPr>
        <w:lastRenderedPageBreak/>
        <w:t>legislación secundaria y justificados bajo determinadas circunstancias, se podrá clasificar como confidencial o reservada, esto es, considerarla con una calidad diversa.</w:t>
      </w:r>
    </w:p>
    <w:p w:rsidR="00DF7017" w:rsidRPr="005C79A3" w:rsidRDefault="00DF7017" w:rsidP="00DF7017">
      <w:pPr>
        <w:pStyle w:val="Textoindependienteprimerasangra"/>
        <w:spacing w:before="240"/>
        <w:ind w:firstLine="900"/>
        <w:rPr>
          <w:rFonts w:ascii="Arial" w:hAnsi="Arial" w:cs="Arial"/>
          <w:color w:val="7F7F7F" w:themeColor="text1" w:themeTint="80"/>
          <w:lang w:val="es-MX"/>
        </w:rPr>
      </w:pPr>
      <w:r w:rsidRPr="005C79A3">
        <w:rPr>
          <w:rFonts w:ascii="Arial" w:hAnsi="Arial" w:cs="Arial"/>
          <w:color w:val="7F7F7F" w:themeColor="text1" w:themeTint="80"/>
          <w:lang w:val="es-MX"/>
        </w:rPr>
        <w:t xml:space="preserve">Por lo anteriormente señalado, es de precisar que de conformidad con el artículo 11 de la Ley de Transparencia y Acceso a la Información Pública del Estado, toda la información en posesión de los sujetos obligados será pública, completa, oportuna, accesible, sujeta a un claro régimen de excepciones que deberán estar definidas y ser, además, legítimas y estrictamente necesarias. Para el caso de estar ante la presencia </w:t>
      </w:r>
      <w:r w:rsidR="00340116" w:rsidRPr="005C79A3">
        <w:rPr>
          <w:rFonts w:ascii="Arial" w:hAnsi="Arial" w:cs="Arial"/>
          <w:color w:val="7F7F7F" w:themeColor="text1" w:themeTint="80"/>
          <w:lang w:val="es-MX"/>
        </w:rPr>
        <w:t>de una salvedad (clasificación,</w:t>
      </w:r>
      <w:r w:rsidRPr="005C79A3">
        <w:rPr>
          <w:rFonts w:ascii="Arial" w:hAnsi="Arial" w:cs="Arial"/>
          <w:color w:val="7F7F7F" w:themeColor="text1" w:themeTint="80"/>
          <w:lang w:val="es-MX"/>
        </w:rPr>
        <w:t xml:space="preserve"> inexistencia</w:t>
      </w:r>
      <w:r w:rsidR="00340116" w:rsidRPr="005C79A3">
        <w:rPr>
          <w:rFonts w:ascii="Arial" w:hAnsi="Arial" w:cs="Arial"/>
          <w:color w:val="7F7F7F" w:themeColor="text1" w:themeTint="80"/>
          <w:lang w:val="es-MX"/>
        </w:rPr>
        <w:t xml:space="preserve"> o </w:t>
      </w:r>
      <w:proofErr w:type="gramStart"/>
      <w:r w:rsidR="00340116" w:rsidRPr="005C79A3">
        <w:rPr>
          <w:rFonts w:ascii="Arial" w:hAnsi="Arial" w:cs="Arial"/>
          <w:color w:val="7F7F7F" w:themeColor="text1" w:themeTint="80"/>
          <w:lang w:val="es-MX"/>
        </w:rPr>
        <w:t>incompetencia</w:t>
      </w:r>
      <w:r w:rsidR="00772227" w:rsidRPr="005C79A3">
        <w:rPr>
          <w:rFonts w:ascii="Arial" w:hAnsi="Arial" w:cs="Arial"/>
          <w:color w:val="7F7F7F" w:themeColor="text1" w:themeTint="80"/>
          <w:lang w:val="es-MX"/>
        </w:rPr>
        <w:t xml:space="preserve"> </w:t>
      </w:r>
      <w:r w:rsidRPr="005C79A3">
        <w:rPr>
          <w:rFonts w:ascii="Arial" w:hAnsi="Arial" w:cs="Arial"/>
          <w:color w:val="7F7F7F" w:themeColor="text1" w:themeTint="80"/>
          <w:lang w:val="es-MX"/>
        </w:rPr>
        <w:t>)</w:t>
      </w:r>
      <w:proofErr w:type="gramEnd"/>
      <w:r w:rsidRPr="005C79A3">
        <w:rPr>
          <w:rFonts w:ascii="Arial" w:hAnsi="Arial" w:cs="Arial"/>
          <w:color w:val="7F7F7F" w:themeColor="text1" w:themeTint="80"/>
          <w:lang w:val="es-MX"/>
        </w:rPr>
        <w:t xml:space="preserve"> se deberá demostrar que la información está prevista con tal carácter a través de la justificación correspondiente. Para reforzar, resulta pertinente citar la tesis aislada </w:t>
      </w:r>
      <w:r w:rsidRPr="005C79A3">
        <w:rPr>
          <w:rFonts w:ascii="Arial" w:hAnsi="Arial" w:cs="Arial"/>
          <w:color w:val="7F7F7F" w:themeColor="text1" w:themeTint="80"/>
        </w:rPr>
        <w:t>1a. VIII/2012 (10a.) en</w:t>
      </w:r>
      <w:r w:rsidRPr="005C79A3">
        <w:rPr>
          <w:rFonts w:ascii="Arial" w:hAnsi="Arial" w:cs="Arial"/>
          <w:color w:val="7F7F7F" w:themeColor="text1" w:themeTint="80"/>
          <w:lang w:val="es-MX"/>
        </w:rPr>
        <w:t xml:space="preserve"> materia constitucional emitida por la Primera Sala de la Suprema Corte de Justicia de la Nación, que establece:</w:t>
      </w:r>
    </w:p>
    <w:p w:rsidR="00DF7017" w:rsidRPr="005C79A3" w:rsidRDefault="00DF7017" w:rsidP="00DF7017">
      <w:pPr>
        <w:spacing w:line="240" w:lineRule="auto"/>
        <w:ind w:left="851" w:firstLine="851"/>
        <w:rPr>
          <w:rFonts w:ascii="Arial" w:hAnsi="Arial" w:cs="Arial"/>
          <w:b/>
          <w:i/>
          <w:color w:val="7F7F7F" w:themeColor="text1" w:themeTint="80"/>
          <w:sz w:val="21"/>
          <w:szCs w:val="21"/>
        </w:rPr>
      </w:pPr>
      <w:r w:rsidRPr="005C79A3">
        <w:rPr>
          <w:rFonts w:ascii="Arial" w:hAnsi="Arial" w:cs="Arial"/>
          <w:b/>
          <w:i/>
          <w:color w:val="7F7F7F" w:themeColor="text1" w:themeTint="80"/>
          <w:sz w:val="21"/>
          <w:szCs w:val="21"/>
        </w:rPr>
        <w:t>“INFORMACIÓN RESERVADA. LÍMITE AL DERECHO DE ACCESO A LA INFORMACIÓN (LEY FEDERAL DE TRANSPARENCIA Y ACCESO A LA INFORMACIÓN PÚBLICA GUBERNAMENTAL).</w:t>
      </w:r>
    </w:p>
    <w:p w:rsidR="00DF7017" w:rsidRPr="005C79A3" w:rsidRDefault="00DF7017" w:rsidP="00DF7017">
      <w:pPr>
        <w:spacing w:line="240" w:lineRule="auto"/>
        <w:ind w:left="851" w:firstLine="851"/>
        <w:rPr>
          <w:rFonts w:ascii="Arial" w:hAnsi="Arial" w:cs="Arial"/>
          <w:b/>
          <w:i/>
          <w:color w:val="7F7F7F" w:themeColor="text1" w:themeTint="80"/>
          <w:sz w:val="21"/>
          <w:szCs w:val="21"/>
        </w:rPr>
      </w:pPr>
    </w:p>
    <w:p w:rsidR="00DF7017" w:rsidRPr="005C79A3" w:rsidRDefault="00DF7017" w:rsidP="00DF7017">
      <w:pPr>
        <w:spacing w:line="240" w:lineRule="auto"/>
        <w:ind w:left="851" w:firstLine="851"/>
        <w:rPr>
          <w:rFonts w:ascii="Arial" w:hAnsi="Arial" w:cs="Arial"/>
          <w:i/>
          <w:color w:val="7F7F7F" w:themeColor="text1" w:themeTint="80"/>
          <w:sz w:val="21"/>
          <w:szCs w:val="21"/>
        </w:rPr>
      </w:pPr>
      <w:r w:rsidRPr="005C79A3">
        <w:rPr>
          <w:rFonts w:ascii="Arial" w:hAnsi="Arial" w:cs="Arial"/>
          <w:i/>
          <w:color w:val="7F7F7F" w:themeColor="text1" w:themeTint="80"/>
          <w:sz w:val="21"/>
          <w:szCs w:val="21"/>
        </w:rPr>
        <w:t>Las </w:t>
      </w:r>
      <w:hyperlink r:id="rId10" w:history="1">
        <w:r w:rsidRPr="005C79A3">
          <w:rPr>
            <w:rStyle w:val="Hipervnculo"/>
            <w:rFonts w:ascii="Arial" w:hAnsi="Arial" w:cs="Arial"/>
            <w:i/>
            <w:color w:val="7F7F7F" w:themeColor="text1" w:themeTint="80"/>
            <w:sz w:val="21"/>
            <w:szCs w:val="21"/>
          </w:rPr>
          <w:t>fracciones I y II del segundo párrafo del artículo 6o. de la Constitución Política de los Estados Unidos Mexicanos</w:t>
        </w:r>
      </w:hyperlink>
      <w:r w:rsidRPr="005C79A3">
        <w:rPr>
          <w:rFonts w:ascii="Arial" w:hAnsi="Arial" w:cs="Arial"/>
          <w:i/>
          <w:color w:val="7F7F7F" w:themeColor="text1" w:themeTint="80"/>
          <w:sz w:val="21"/>
          <w:szCs w:val="21"/>
        </w:rPr>
        <w:t>, establecen que el derecho de acceso a la información puede limitarse en virtud del interés público y de la vida privada y los datos personales. Dichas fracciones sólo enuncian los fines constitucionalmente válidos o legítimos para establecer limitaciones al citado derecho, sin embargo, ambas remiten a la legislación secundaria para el desarrollo de los supuestos específicos en que procedan las excepciones que busquen proteger los bienes constitucionales enunciados como límites al derecho de acceso a la información. Así, en cumplimiento al mandato constitucional, la Ley Federal de Transparencia y Acceso a la Información Pública Gubernamental establece dos criterios bajo los cuales la información podrá clasificarse y, con ello, limitar el acceso de los particulares a la misma: el de información confidencial y el de información reservada. En lo que respecta al límite previsto en la Constitución, referente a la protección del interés público, los artículos </w:t>
      </w:r>
      <w:hyperlink r:id="rId11" w:history="1">
        <w:r w:rsidRPr="005C79A3">
          <w:rPr>
            <w:rStyle w:val="Hipervnculo"/>
            <w:rFonts w:ascii="Arial" w:hAnsi="Arial" w:cs="Arial"/>
            <w:i/>
            <w:color w:val="7F7F7F" w:themeColor="text1" w:themeTint="80"/>
            <w:sz w:val="21"/>
            <w:szCs w:val="21"/>
          </w:rPr>
          <w:t>13 y 14</w:t>
        </w:r>
      </w:hyperlink>
      <w:r w:rsidRPr="005C79A3">
        <w:rPr>
          <w:rFonts w:ascii="Arial" w:hAnsi="Arial" w:cs="Arial"/>
          <w:i/>
          <w:color w:val="7F7F7F" w:themeColor="text1" w:themeTint="80"/>
          <w:sz w:val="21"/>
          <w:szCs w:val="21"/>
        </w:rPr>
        <w:t xml:space="preserve"> de la ley establecieron como criterio de clasificación el de información reservada. El primero de los artículos citados establece un catálogo genérico de lineamientos bajo los cuales deberá reservarse la información, lo cual procederá cuando la difusión de la información pueda: 1) comprometer la seguridad nacional, la seguridad pública o la defensa nacional; 2) menoscabar negociaciones o relaciones internacionales; 3) dañar la estabilidad financiera, económica o monetaria del país; 4) poner en riesgo la vida, seguridad o salud de alguna persona; o 5) causar perjuicio al cumplimiento de las leyes, prevención o verificación de delitos, impartición de justicia, recaudación de contribuciones, control migratorio o a las estrategias procesales en procedimientos jurisdiccionales, mientras las resoluciones no causen estado. Por otro lado, con un enfoque más preciso que descriptivo, el artículo 14 de la Ley Federal de Transparencia y Acceso a la Información Pública Gubernamental contiene un catálogo ya no genérico, sino específico, de supuestos en los cuales la información también se considerará reservada: 1) la que expresamente se </w:t>
      </w:r>
      <w:r w:rsidRPr="005C79A3">
        <w:rPr>
          <w:rFonts w:ascii="Arial" w:hAnsi="Arial" w:cs="Arial"/>
          <w:i/>
          <w:color w:val="7F7F7F" w:themeColor="text1" w:themeTint="80"/>
          <w:sz w:val="21"/>
          <w:szCs w:val="21"/>
        </w:rPr>
        <w:lastRenderedPageBreak/>
        <w:t>clasifique como confidencial, reservada, comercial reservada o gubernamental reservada; 2) secretos comercial, industrial, fiscal, bancario, fiduciario u otros; 3) averiguaciones previas; 4) expedientes jurisdiccionales que no hayan causado estado; 5) procedimientos de responsabilidad administrativa sin resolución definitiva; o 6) la que contenga opiniones, recomendaciones o puntos de vista de servidores públicos y que formen parte de un proceso deliberativo en el cual aún no se hubiese adoptado una decisión definitiva. Como evidencia el listado anterior, la ley enunció en su artículo 14 supuestos que, si bien pueden clasificarse dentro de los lineamientos genéricos establecidos en el artículo 13, el legislador quiso destacar de modo que no se presentasen dudas respecto a la necesidad de considerarlos como información reservada”.</w:t>
      </w:r>
    </w:p>
    <w:p w:rsidR="00DF7017" w:rsidRPr="005C79A3" w:rsidRDefault="00DF7017" w:rsidP="00DF7017">
      <w:pPr>
        <w:pStyle w:val="Prrafodelista"/>
        <w:shd w:val="clear" w:color="auto" w:fill="FFFFFF"/>
        <w:spacing w:before="240" w:after="240"/>
        <w:ind w:left="0"/>
        <w:rPr>
          <w:rFonts w:ascii="Arial" w:hAnsi="Arial" w:cs="Arial"/>
          <w:color w:val="7F7F7F" w:themeColor="text1" w:themeTint="80"/>
          <w:szCs w:val="26"/>
          <w:lang w:val="es-MX" w:eastAsia="en-US"/>
        </w:rPr>
      </w:pPr>
      <w:r w:rsidRPr="005C79A3">
        <w:rPr>
          <w:rFonts w:ascii="Arial" w:hAnsi="Arial" w:cs="Arial"/>
          <w:color w:val="7F7F7F" w:themeColor="text1" w:themeTint="80"/>
        </w:rPr>
        <w:tab/>
      </w:r>
      <w:r w:rsidRPr="005C79A3">
        <w:rPr>
          <w:rFonts w:ascii="Arial" w:hAnsi="Arial" w:cs="Arial"/>
          <w:color w:val="7F7F7F" w:themeColor="text1" w:themeTint="80"/>
          <w:szCs w:val="26"/>
        </w:rPr>
        <w:t xml:space="preserve">De lo expuesto, se puede advertir que en la concepción de la transparencia en México el principio marco en este derecho es el de </w:t>
      </w:r>
      <w:r w:rsidRPr="005C79A3">
        <w:rPr>
          <w:rFonts w:ascii="Arial" w:hAnsi="Arial" w:cs="Arial"/>
          <w:b/>
          <w:color w:val="7F7F7F" w:themeColor="text1" w:themeTint="80"/>
          <w:szCs w:val="26"/>
          <w:u w:val="single"/>
        </w:rPr>
        <w:t>máxima publicidad</w:t>
      </w:r>
      <w:r w:rsidRPr="005C79A3">
        <w:rPr>
          <w:rFonts w:ascii="Arial" w:hAnsi="Arial" w:cs="Arial"/>
          <w:color w:val="7F7F7F" w:themeColor="text1" w:themeTint="80"/>
          <w:szCs w:val="26"/>
        </w:rPr>
        <w:t xml:space="preserve"> o</w:t>
      </w:r>
      <w:r w:rsidRPr="005C79A3">
        <w:rPr>
          <w:rFonts w:ascii="Arial" w:hAnsi="Arial" w:cs="Arial"/>
          <w:color w:val="7F7F7F" w:themeColor="text1" w:themeTint="80"/>
          <w:szCs w:val="26"/>
          <w:lang w:val="es-MX" w:eastAsia="en-US"/>
        </w:rPr>
        <w:t xml:space="preserve"> de </w:t>
      </w:r>
      <w:r w:rsidRPr="005C79A3">
        <w:rPr>
          <w:rFonts w:ascii="Arial" w:hAnsi="Arial" w:cs="Arial"/>
          <w:b/>
          <w:color w:val="7F7F7F" w:themeColor="text1" w:themeTint="80"/>
          <w:szCs w:val="26"/>
          <w:u w:val="single"/>
          <w:lang w:val="es-MX" w:eastAsia="en-US"/>
        </w:rPr>
        <w:t>máxima divulgación,</w:t>
      </w:r>
      <w:r w:rsidRPr="005C79A3">
        <w:rPr>
          <w:rFonts w:ascii="Arial" w:hAnsi="Arial" w:cs="Arial"/>
          <w:color w:val="7F7F7F" w:themeColor="text1" w:themeTint="80"/>
          <w:szCs w:val="26"/>
          <w:lang w:val="es-MX" w:eastAsia="en-US"/>
        </w:rPr>
        <w:t xml:space="preserve"> el cual ha sido reconocido en el sistema interamericano como un principio rector del derecho a buscar, recibir y difundir información, contenido en el artículo 13 de la Convención Americana. En este sentido, la Corte Interamericana ha establecido en su jurisprudencia que, “en una sociedad democrática es indispensable que las autoridades estatales se rijan por el principio de máxima divulgación” de modo que “toda la información en poder del Estado se presuma pública y accesible, sometida a un régimen limitado de excepciones”. En idéntico sentido, la Comisión Interamericana de  Derechos Humanos ha explicado que, en virtud del artículo 13 de citada convención, el derecho de acceso a la información se debe regir por el principio de máxima divulgación. Asimismo, el numeral 1 de la Resolución CJI/RES.147 (LXXIII</w:t>
      </w:r>
      <w:r w:rsidRPr="005C79A3">
        <w:rPr>
          <w:rFonts w:ascii="Calibri" w:hAnsi="Calibri" w:cs="Arial"/>
          <w:color w:val="7F7F7F" w:themeColor="text1" w:themeTint="80"/>
          <w:szCs w:val="26"/>
          <w:lang w:val="es-MX" w:eastAsia="en-US"/>
        </w:rPr>
        <w:t>‐</w:t>
      </w:r>
      <w:r w:rsidRPr="005C79A3">
        <w:rPr>
          <w:rFonts w:ascii="Arial" w:hAnsi="Arial" w:cs="Arial"/>
          <w:color w:val="7F7F7F" w:themeColor="text1" w:themeTint="80"/>
          <w:szCs w:val="26"/>
          <w:lang w:val="es-MX" w:eastAsia="en-US"/>
        </w:rPr>
        <w:t>O/08) (“Principios sobre el Derecho de Acceso a la Información”) del Comité Jurídico Interamericano ha establecido que, “[t]oda información es accesible en principio. El acceso a la información es un derecho humano fundamental que establece que toda persona puede acceder a la información en posesión de órganos públicos, sujeto sólo a un régimen limitado de excepciones</w:t>
      </w:r>
      <w:r w:rsidRPr="005C79A3">
        <w:rPr>
          <w:rStyle w:val="Refdenotaalpie"/>
          <w:rFonts w:ascii="Arial" w:hAnsi="Arial" w:cs="Arial"/>
          <w:color w:val="7F7F7F" w:themeColor="text1" w:themeTint="80"/>
          <w:szCs w:val="26"/>
          <w:lang w:val="es-MX" w:eastAsia="en-US"/>
        </w:rPr>
        <w:footnoteReference w:id="1"/>
      </w:r>
      <w:r w:rsidRPr="005C79A3">
        <w:rPr>
          <w:rFonts w:ascii="Arial" w:hAnsi="Arial" w:cs="Arial"/>
          <w:color w:val="7F7F7F" w:themeColor="text1" w:themeTint="80"/>
          <w:szCs w:val="26"/>
          <w:lang w:val="es-MX" w:eastAsia="en-US"/>
        </w:rPr>
        <w:t>.</w:t>
      </w:r>
    </w:p>
    <w:p w:rsidR="00DF7017" w:rsidRPr="005C79A3" w:rsidRDefault="00DF7017" w:rsidP="00DF7017">
      <w:pPr>
        <w:pStyle w:val="Prrafodelista"/>
        <w:shd w:val="clear" w:color="auto" w:fill="FFFFFF"/>
        <w:spacing w:before="240" w:after="240" w:line="276" w:lineRule="auto"/>
        <w:ind w:left="0"/>
        <w:rPr>
          <w:rFonts w:ascii="Arial" w:hAnsi="Arial" w:cs="Arial"/>
          <w:color w:val="7F7F7F" w:themeColor="text1" w:themeTint="80"/>
          <w:szCs w:val="26"/>
          <w:lang w:val="es-MX" w:eastAsia="en-US"/>
        </w:rPr>
      </w:pPr>
    </w:p>
    <w:p w:rsidR="00DF7017" w:rsidRPr="005C79A3" w:rsidRDefault="00DF7017" w:rsidP="00DF7017">
      <w:pPr>
        <w:pStyle w:val="Prrafodelista"/>
        <w:shd w:val="clear" w:color="auto" w:fill="FFFFFF"/>
        <w:spacing w:after="240"/>
        <w:ind w:left="0"/>
        <w:rPr>
          <w:rFonts w:ascii="Arial" w:hAnsi="Arial" w:cs="Arial"/>
          <w:color w:val="7F7F7F" w:themeColor="text1" w:themeTint="80"/>
          <w:szCs w:val="26"/>
          <w:lang w:val="es-MX" w:eastAsia="en-US"/>
        </w:rPr>
      </w:pPr>
      <w:r w:rsidRPr="005C79A3">
        <w:rPr>
          <w:rFonts w:ascii="Arial" w:hAnsi="Arial" w:cs="Arial"/>
          <w:color w:val="7F7F7F" w:themeColor="text1" w:themeTint="80"/>
          <w:szCs w:val="26"/>
          <w:lang w:val="es-MX" w:eastAsia="en-US"/>
        </w:rPr>
        <w:tab/>
        <w:t xml:space="preserve">En armonía con lo anterior, es de precisar que el artículo 129 de la Ley de Transparencia y Acceso a la Información Pública del Estado </w:t>
      </w:r>
      <w:r w:rsidRPr="005C79A3">
        <w:rPr>
          <w:rFonts w:ascii="Arial" w:hAnsi="Arial" w:cs="Arial"/>
          <w:color w:val="7F7F7F" w:themeColor="text1" w:themeTint="80"/>
          <w:szCs w:val="26"/>
          <w:lang w:val="es-MX" w:eastAsia="en-US"/>
        </w:rPr>
        <w:lastRenderedPageBreak/>
        <w:t>establece las hipótesis por las cuales se podrá reservar la información en posesión de las autoridades y para acreditar que las mismas se actualizan debe concurrir un estudio que, de manera fundada y motivada acredite la afectación al interés pú</w:t>
      </w:r>
      <w:r w:rsidR="00772227" w:rsidRPr="005C79A3">
        <w:rPr>
          <w:rFonts w:ascii="Arial" w:hAnsi="Arial" w:cs="Arial"/>
          <w:color w:val="7F7F7F" w:themeColor="text1" w:themeTint="80"/>
          <w:szCs w:val="26"/>
          <w:lang w:val="es-MX" w:eastAsia="en-US"/>
        </w:rPr>
        <w:t xml:space="preserve">blico tutelado por la excepción, es decir, la prueba de daño que acredite </w:t>
      </w:r>
      <w:r w:rsidR="00E2553D" w:rsidRPr="005C79A3">
        <w:rPr>
          <w:rFonts w:ascii="Arial" w:hAnsi="Arial" w:cs="Arial"/>
          <w:color w:val="7F7F7F" w:themeColor="text1" w:themeTint="80"/>
          <w:szCs w:val="26"/>
          <w:lang w:val="es-MX" w:eastAsia="en-US"/>
        </w:rPr>
        <w:t>un riesgo real, demostrable e identificable de perjuicio significativo al interés público, el riesgo de perjuicio superior al interés público general e que se difunda y la justificación de la proporcionalidad en la medida adoptada.</w:t>
      </w:r>
    </w:p>
    <w:p w:rsidR="00DF7017" w:rsidRPr="005C79A3" w:rsidRDefault="00DF7017" w:rsidP="00DF7017">
      <w:pPr>
        <w:pStyle w:val="Textoindependienteprimerasangra"/>
        <w:spacing w:before="240"/>
        <w:ind w:firstLine="900"/>
        <w:rPr>
          <w:rFonts w:ascii="Arial" w:hAnsi="Arial" w:cs="Arial"/>
          <w:color w:val="7F7F7F" w:themeColor="text1" w:themeTint="80"/>
          <w:lang w:val="es-MX"/>
        </w:rPr>
      </w:pPr>
      <w:r w:rsidRPr="005C79A3">
        <w:rPr>
          <w:rFonts w:ascii="Arial" w:hAnsi="Arial" w:cs="Arial"/>
          <w:color w:val="7F7F7F" w:themeColor="text1" w:themeTint="80"/>
          <w:lang w:val="es-MX"/>
        </w:rPr>
        <w:t xml:space="preserve">En el presente asunto, el sujeto obligado </w:t>
      </w:r>
      <w:r w:rsidR="00E2553D" w:rsidRPr="005C79A3">
        <w:rPr>
          <w:rFonts w:ascii="Arial" w:hAnsi="Arial" w:cs="Arial"/>
          <w:color w:val="7F7F7F" w:themeColor="text1" w:themeTint="80"/>
          <w:lang w:val="es-MX"/>
        </w:rPr>
        <w:t xml:space="preserve"> no señaló</w:t>
      </w:r>
      <w:r w:rsidRPr="005C79A3">
        <w:rPr>
          <w:rFonts w:ascii="Arial" w:hAnsi="Arial" w:cs="Arial"/>
          <w:color w:val="7F7F7F" w:themeColor="text1" w:themeTint="80"/>
          <w:lang w:val="es-MX"/>
        </w:rPr>
        <w:t xml:space="preserve"> que la divulgación de la información podría </w:t>
      </w:r>
      <w:r w:rsidR="00E2553D" w:rsidRPr="005C79A3">
        <w:rPr>
          <w:rFonts w:ascii="Arial" w:hAnsi="Arial" w:cs="Arial"/>
          <w:color w:val="7F7F7F" w:themeColor="text1" w:themeTint="80"/>
          <w:lang w:val="es-MX"/>
        </w:rPr>
        <w:t xml:space="preserve">suponer una afectación al interés público, pues no justificó conforme a la prueba de daño el perjuicio a causar, pues no se advierte que </w:t>
      </w:r>
      <w:r w:rsidRPr="005C79A3">
        <w:rPr>
          <w:rFonts w:ascii="Arial" w:hAnsi="Arial" w:cs="Arial"/>
          <w:color w:val="7F7F7F" w:themeColor="text1" w:themeTint="80"/>
          <w:lang w:val="es-MX"/>
        </w:rPr>
        <w:t>justificara los extremos a que aluden los artículos 117 y 118 de la Ley de Transparencia y Acceso a la Información Pública del Estado, mismos que establecen:</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 xml:space="preserve">ARTÍCULO 117. En los casos en que se niegue el acceso a la información, por actualizarse alguno de los supuestos de clasificación, el Comité de Transparencia deberá confirmar, modificar o revocar la decisión. </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 xml:space="preserve">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lang w:val="es-MX"/>
        </w:rPr>
      </w:pPr>
      <w:r w:rsidRPr="005C79A3">
        <w:rPr>
          <w:rFonts w:ascii="Arial" w:hAnsi="Arial" w:cs="Arial"/>
          <w:i/>
          <w:color w:val="7F7F7F" w:themeColor="text1" w:themeTint="80"/>
          <w:sz w:val="20"/>
          <w:szCs w:val="20"/>
        </w:rPr>
        <w:t>Además, el sujeto obligado deberá, en todo momento, aplicar una prueba de daño. Tratándose de aquella información que actualice los supuestos de clasificación, deberá señalarse el plazo al que estará sujeto la reserva.</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 xml:space="preserve">“ARTÍCULO 118. En la aplicación de la prueba de daño, el sujeto obligado deberá justificar que: </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 xml:space="preserve">I. La divulgación de la información representa un riesgo real, demostrable e identificable de perjuicio significativo al interés público; </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 xml:space="preserve">II. El riesgo de perjuicio que supondría la divulgación supera el interés público general de que se difunda, y </w:t>
      </w:r>
    </w:p>
    <w:p w:rsidR="00DF7017" w:rsidRPr="005C79A3" w:rsidRDefault="00DF7017" w:rsidP="00DF7017">
      <w:pPr>
        <w:pStyle w:val="Textoindependienteprimerasangra"/>
        <w:spacing w:after="0" w:line="240" w:lineRule="auto"/>
        <w:ind w:left="851" w:firstLine="900"/>
        <w:rPr>
          <w:rFonts w:ascii="Arial" w:hAnsi="Arial" w:cs="Arial"/>
          <w:i/>
          <w:color w:val="7F7F7F" w:themeColor="text1" w:themeTint="80"/>
          <w:sz w:val="20"/>
          <w:szCs w:val="20"/>
        </w:rPr>
      </w:pPr>
      <w:r w:rsidRPr="005C79A3">
        <w:rPr>
          <w:rFonts w:ascii="Arial" w:hAnsi="Arial" w:cs="Arial"/>
          <w:i/>
          <w:color w:val="7F7F7F" w:themeColor="text1" w:themeTint="80"/>
          <w:sz w:val="20"/>
          <w:szCs w:val="20"/>
        </w:rPr>
        <w:t>III. La limitación se adecua al principio de proporcionalidad y representa el medio menos restrictivo disponible para evitar el perjuicio”.</w:t>
      </w:r>
    </w:p>
    <w:p w:rsidR="00DF7017" w:rsidRPr="005C79A3" w:rsidRDefault="00DF7017" w:rsidP="00DF7017">
      <w:pPr>
        <w:spacing w:before="240"/>
        <w:rPr>
          <w:rFonts w:ascii="Arial" w:hAnsi="Arial" w:cs="Arial"/>
          <w:color w:val="7F7F7F" w:themeColor="text1" w:themeTint="80"/>
          <w:szCs w:val="26"/>
          <w:lang w:val="es-MX"/>
        </w:rPr>
      </w:pPr>
      <w:r w:rsidRPr="005C79A3">
        <w:rPr>
          <w:rFonts w:ascii="Arial" w:hAnsi="Arial" w:cs="Arial"/>
          <w:color w:val="7F7F7F" w:themeColor="text1" w:themeTint="80"/>
        </w:rPr>
        <w:tab/>
      </w:r>
      <w:r w:rsidRPr="005C79A3">
        <w:rPr>
          <w:rFonts w:ascii="Arial" w:hAnsi="Arial" w:cs="Arial"/>
          <w:color w:val="7F7F7F" w:themeColor="text1" w:themeTint="80"/>
          <w:szCs w:val="26"/>
        </w:rPr>
        <w:t xml:space="preserve">De la interpretación conjunta de los artículos 117, 118, </w:t>
      </w:r>
      <w:r w:rsidRPr="005C79A3">
        <w:rPr>
          <w:rFonts w:ascii="Arial" w:hAnsi="Arial" w:cs="Arial"/>
          <w:color w:val="7F7F7F" w:themeColor="text1" w:themeTint="80"/>
          <w:szCs w:val="26"/>
          <w:lang w:val="es-MX"/>
        </w:rPr>
        <w:t>129 y 130 de la Ley de Transparencia y Acceso a la Información Pública del Estado, se puede advertir que la clasificación, en su modalidad de reservada, es un procedimiento complejo, pues no sólo bast</w:t>
      </w:r>
      <w:r w:rsidR="00E2553D" w:rsidRPr="005C79A3">
        <w:rPr>
          <w:rFonts w:ascii="Arial" w:hAnsi="Arial" w:cs="Arial"/>
          <w:color w:val="7F7F7F" w:themeColor="text1" w:themeTint="80"/>
          <w:szCs w:val="26"/>
          <w:lang w:val="es-MX"/>
        </w:rPr>
        <w:t>a acreditar que se configura la</w:t>
      </w:r>
      <w:r w:rsidRPr="005C79A3">
        <w:rPr>
          <w:rFonts w:ascii="Arial" w:hAnsi="Arial" w:cs="Arial"/>
          <w:color w:val="7F7F7F" w:themeColor="text1" w:themeTint="80"/>
          <w:szCs w:val="26"/>
          <w:lang w:val="es-MX"/>
        </w:rPr>
        <w:t xml:space="preserve"> hipótesis de</w:t>
      </w:r>
      <w:r w:rsidR="00E2553D" w:rsidRPr="005C79A3">
        <w:rPr>
          <w:rFonts w:ascii="Arial" w:hAnsi="Arial" w:cs="Arial"/>
          <w:color w:val="7F7F7F" w:themeColor="text1" w:themeTint="80"/>
          <w:szCs w:val="26"/>
          <w:lang w:val="es-MX"/>
        </w:rPr>
        <w:t xml:space="preserve"> reserva invocada</w:t>
      </w:r>
      <w:r w:rsidRPr="005C79A3">
        <w:rPr>
          <w:rFonts w:ascii="Arial" w:hAnsi="Arial" w:cs="Arial"/>
          <w:color w:val="7F7F7F" w:themeColor="text1" w:themeTint="80"/>
          <w:szCs w:val="26"/>
          <w:lang w:val="es-MX"/>
        </w:rPr>
        <w:t>, sino que además</w:t>
      </w:r>
      <w:r w:rsidR="00E2553D" w:rsidRPr="005C79A3">
        <w:rPr>
          <w:rFonts w:ascii="Arial" w:hAnsi="Arial" w:cs="Arial"/>
          <w:color w:val="7F7F7F" w:themeColor="text1" w:themeTint="80"/>
          <w:szCs w:val="26"/>
          <w:lang w:val="es-MX"/>
        </w:rPr>
        <w:t xml:space="preserve"> se debe acreditar que</w:t>
      </w:r>
      <w:r w:rsidRPr="005C79A3">
        <w:rPr>
          <w:rFonts w:ascii="Arial" w:hAnsi="Arial" w:cs="Arial"/>
          <w:color w:val="7F7F7F" w:themeColor="text1" w:themeTint="80"/>
          <w:szCs w:val="26"/>
          <w:lang w:val="es-MX"/>
        </w:rPr>
        <w:t xml:space="preserve"> su divulgación represente una afectación </w:t>
      </w:r>
      <w:r w:rsidRPr="005C79A3">
        <w:rPr>
          <w:rFonts w:ascii="Arial" w:hAnsi="Arial" w:cs="Arial"/>
          <w:color w:val="7F7F7F" w:themeColor="text1" w:themeTint="80"/>
          <w:szCs w:val="26"/>
        </w:rPr>
        <w:t>real, demostrable e identificable de perjuicio significativo al interés público</w:t>
      </w:r>
      <w:r w:rsidRPr="005C79A3">
        <w:rPr>
          <w:rFonts w:ascii="Arial" w:hAnsi="Arial" w:cs="Arial"/>
          <w:color w:val="7F7F7F" w:themeColor="text1" w:themeTint="80"/>
          <w:szCs w:val="26"/>
          <w:lang w:val="es-MX"/>
        </w:rPr>
        <w:t xml:space="preserve">. </w:t>
      </w:r>
    </w:p>
    <w:p w:rsidR="00DF7017" w:rsidRPr="005C79A3" w:rsidRDefault="00DF7017" w:rsidP="00DF7017">
      <w:pPr>
        <w:spacing w:before="240"/>
        <w:rPr>
          <w:rFonts w:ascii="Arial" w:hAnsi="Arial" w:cs="Arial"/>
          <w:color w:val="7F7F7F" w:themeColor="text1" w:themeTint="80"/>
          <w:szCs w:val="26"/>
          <w:lang w:val="es-MX"/>
        </w:rPr>
      </w:pPr>
      <w:r w:rsidRPr="005C79A3">
        <w:rPr>
          <w:rFonts w:ascii="Arial" w:hAnsi="Arial" w:cs="Arial"/>
          <w:color w:val="7F7F7F" w:themeColor="text1" w:themeTint="80"/>
          <w:szCs w:val="26"/>
          <w:lang w:val="es-MX"/>
        </w:rPr>
        <w:lastRenderedPageBreak/>
        <w:tab/>
        <w:t xml:space="preserve">Al caso concreto, </w:t>
      </w:r>
      <w:r w:rsidR="00E2553D" w:rsidRPr="005C79A3">
        <w:rPr>
          <w:rFonts w:ascii="Arial" w:hAnsi="Arial" w:cs="Arial"/>
          <w:color w:val="7F7F7F" w:themeColor="text1" w:themeTint="80"/>
          <w:szCs w:val="26"/>
          <w:lang w:val="es-MX"/>
        </w:rPr>
        <w:t xml:space="preserve"> el sujeto obligado no sometió a consideración del</w:t>
      </w:r>
      <w:r w:rsidRPr="005C79A3">
        <w:rPr>
          <w:rFonts w:ascii="Arial" w:hAnsi="Arial" w:cs="Arial"/>
          <w:color w:val="7F7F7F" w:themeColor="text1" w:themeTint="80"/>
          <w:szCs w:val="26"/>
          <w:lang w:val="es-MX"/>
        </w:rPr>
        <w:t xml:space="preserve"> Comité de Transparencia</w:t>
      </w:r>
      <w:r w:rsidR="00E2553D" w:rsidRPr="005C79A3">
        <w:rPr>
          <w:rFonts w:ascii="Arial" w:hAnsi="Arial" w:cs="Arial"/>
          <w:color w:val="7F7F7F" w:themeColor="text1" w:themeTint="80"/>
          <w:szCs w:val="26"/>
          <w:lang w:val="es-MX"/>
        </w:rPr>
        <w:t>, pues sólo se limitó a expresar</w:t>
      </w:r>
      <w:r w:rsidRPr="005C79A3">
        <w:rPr>
          <w:rFonts w:ascii="Arial" w:hAnsi="Arial" w:cs="Arial"/>
          <w:color w:val="7F7F7F" w:themeColor="text1" w:themeTint="80"/>
          <w:szCs w:val="26"/>
          <w:lang w:val="es-MX"/>
        </w:rPr>
        <w:t xml:space="preserve"> </w:t>
      </w:r>
      <w:r w:rsidR="00E2553D" w:rsidRPr="005C79A3">
        <w:rPr>
          <w:rFonts w:ascii="Arial" w:hAnsi="Arial" w:cs="Arial"/>
          <w:color w:val="7F7F7F" w:themeColor="text1" w:themeTint="80"/>
          <w:szCs w:val="26"/>
          <w:lang w:val="es-MX"/>
        </w:rPr>
        <w:t xml:space="preserve">que lo solicitado formaba parte de un procedimiento </w:t>
      </w:r>
      <w:r w:rsidR="00CE1360" w:rsidRPr="005C79A3">
        <w:rPr>
          <w:rFonts w:ascii="Arial" w:hAnsi="Arial" w:cs="Arial"/>
          <w:color w:val="7F7F7F" w:themeColor="text1" w:themeTint="80"/>
          <w:szCs w:val="26"/>
          <w:lang w:val="es-MX"/>
        </w:rPr>
        <w:t>deliberativo</w:t>
      </w:r>
      <w:r w:rsidRPr="005C79A3">
        <w:rPr>
          <w:rFonts w:ascii="Arial" w:hAnsi="Arial" w:cs="Arial"/>
          <w:color w:val="7F7F7F" w:themeColor="text1" w:themeTint="80"/>
          <w:szCs w:val="26"/>
          <w:lang w:val="es-MX"/>
        </w:rPr>
        <w:t>, sin que para ello especificara cual es la afectación que podría resultar de su divulgación y el por qué esta supusiera un afectación al interés público conforme a los extremos de la prueba de daño. Menos aun ponderó porque la reserva total que efectuó supone ser el medio menos restrictivo para evitar el perjuicio.</w:t>
      </w:r>
    </w:p>
    <w:p w:rsidR="00CE1360" w:rsidRPr="005C79A3" w:rsidRDefault="00CE1360" w:rsidP="00DF7017">
      <w:pPr>
        <w:spacing w:before="240"/>
        <w:rPr>
          <w:rFonts w:ascii="Arial" w:hAnsi="Arial" w:cs="Arial"/>
          <w:color w:val="7F7F7F" w:themeColor="text1" w:themeTint="80"/>
          <w:szCs w:val="26"/>
          <w:lang w:val="es-MX"/>
        </w:rPr>
      </w:pPr>
      <w:r w:rsidRPr="005C79A3">
        <w:rPr>
          <w:rFonts w:ascii="Arial" w:hAnsi="Arial" w:cs="Arial"/>
          <w:color w:val="7F7F7F" w:themeColor="text1" w:themeTint="80"/>
          <w:szCs w:val="26"/>
          <w:lang w:val="es-MX"/>
        </w:rPr>
        <w:tab/>
        <w:t xml:space="preserve">Cabe realizar una precisión en relación a las manifestaciones que realizó el peticionario, puesto que éste afirmó que un procedimiento administrativo se circunscribe únicamente al ámbito contencioso administrativa; sin embargo, tal aseveración no es del todo correcta, pues de lo establecido por el Código Procesal Administrativo en su exposición de motivos, un procedimiento administrativo puede ser tanto de naturaleza oficiosa como contenciosa, aunado a que </w:t>
      </w:r>
      <w:r w:rsidR="00ED391F" w:rsidRPr="005C79A3">
        <w:rPr>
          <w:rFonts w:ascii="Arial" w:hAnsi="Arial" w:cs="Arial"/>
          <w:color w:val="7F7F7F" w:themeColor="text1" w:themeTint="80"/>
          <w:szCs w:val="26"/>
          <w:lang w:val="es-MX"/>
        </w:rPr>
        <w:t>“</w:t>
      </w:r>
      <w:r w:rsidRPr="005C79A3">
        <w:rPr>
          <w:rFonts w:ascii="Arial" w:hAnsi="Arial" w:cs="Arial"/>
          <w:color w:val="7F7F7F" w:themeColor="text1" w:themeTint="80"/>
          <w:szCs w:val="26"/>
          <w:lang w:val="es-MX"/>
        </w:rPr>
        <w:t xml:space="preserve">en un sentido amplio puede </w:t>
      </w:r>
      <w:r w:rsidR="00ED391F" w:rsidRPr="005C79A3">
        <w:rPr>
          <w:rFonts w:ascii="Arial" w:hAnsi="Arial" w:cs="Arial"/>
          <w:color w:val="7F7F7F" w:themeColor="text1" w:themeTint="80"/>
          <w:szCs w:val="26"/>
          <w:lang w:val="es-MX"/>
        </w:rPr>
        <w:t>definirse</w:t>
      </w:r>
      <w:r w:rsidRPr="005C79A3">
        <w:rPr>
          <w:rFonts w:ascii="Arial" w:hAnsi="Arial" w:cs="Arial"/>
          <w:color w:val="7F7F7F" w:themeColor="text1" w:themeTint="80"/>
          <w:szCs w:val="26"/>
          <w:lang w:val="es-MX"/>
        </w:rPr>
        <w:t xml:space="preserve"> como </w:t>
      </w:r>
      <w:r w:rsidR="00ED391F" w:rsidRPr="005C79A3">
        <w:rPr>
          <w:rFonts w:ascii="Arial" w:hAnsi="Arial" w:cs="Arial"/>
          <w:color w:val="7F7F7F" w:themeColor="text1" w:themeTint="80"/>
          <w:szCs w:val="26"/>
          <w:lang w:val="es-MX"/>
        </w:rPr>
        <w:t>cualquier</w:t>
      </w:r>
      <w:r w:rsidRPr="005C79A3">
        <w:rPr>
          <w:rFonts w:ascii="Arial" w:hAnsi="Arial" w:cs="Arial"/>
          <w:color w:val="7F7F7F" w:themeColor="text1" w:themeTint="80"/>
          <w:szCs w:val="26"/>
          <w:lang w:val="es-MX"/>
        </w:rPr>
        <w:t xml:space="preserve"> actividad de la administración encaminada a la </w:t>
      </w:r>
      <w:r w:rsidR="00ED391F" w:rsidRPr="005C79A3">
        <w:rPr>
          <w:rFonts w:ascii="Arial" w:hAnsi="Arial" w:cs="Arial"/>
          <w:color w:val="7F7F7F" w:themeColor="text1" w:themeTint="80"/>
          <w:szCs w:val="26"/>
          <w:lang w:val="es-MX"/>
        </w:rPr>
        <w:t>adopción</w:t>
      </w:r>
      <w:r w:rsidRPr="005C79A3">
        <w:rPr>
          <w:rFonts w:ascii="Arial" w:hAnsi="Arial" w:cs="Arial"/>
          <w:color w:val="7F7F7F" w:themeColor="text1" w:themeTint="80"/>
          <w:szCs w:val="26"/>
          <w:lang w:val="es-MX"/>
        </w:rPr>
        <w:t xml:space="preserve"> de una decisión, a la aplicación de una medida de otro topo a la </w:t>
      </w:r>
      <w:r w:rsidR="00ED391F" w:rsidRPr="005C79A3">
        <w:rPr>
          <w:rFonts w:ascii="Arial" w:hAnsi="Arial" w:cs="Arial"/>
          <w:color w:val="7F7F7F" w:themeColor="text1" w:themeTint="80"/>
          <w:szCs w:val="26"/>
          <w:lang w:val="es-MX"/>
        </w:rPr>
        <w:t>conclusión</w:t>
      </w:r>
      <w:r w:rsidRPr="005C79A3">
        <w:rPr>
          <w:rFonts w:ascii="Arial" w:hAnsi="Arial" w:cs="Arial"/>
          <w:color w:val="7F7F7F" w:themeColor="text1" w:themeTint="80"/>
          <w:szCs w:val="26"/>
          <w:lang w:val="es-MX"/>
        </w:rPr>
        <w:t xml:space="preserve"> de un convenio. Una definición tan amplia incluye, dependiente del tipo de forma de actuación de que se trate (reglamentos, actos administrativos, declaraciones de voluntad de derecho </w:t>
      </w:r>
      <w:r w:rsidR="00ED391F" w:rsidRPr="005C79A3">
        <w:rPr>
          <w:rFonts w:ascii="Arial" w:hAnsi="Arial" w:cs="Arial"/>
          <w:color w:val="7F7F7F" w:themeColor="text1" w:themeTint="80"/>
          <w:szCs w:val="26"/>
          <w:lang w:val="es-MX"/>
        </w:rPr>
        <w:t>privado</w:t>
      </w:r>
      <w:r w:rsidRPr="005C79A3">
        <w:rPr>
          <w:rFonts w:ascii="Arial" w:hAnsi="Arial" w:cs="Arial"/>
          <w:color w:val="7F7F7F" w:themeColor="text1" w:themeTint="80"/>
          <w:szCs w:val="26"/>
          <w:lang w:val="es-MX"/>
        </w:rPr>
        <w:t>, actividad material de la administración, convenios, ordenes de régimen interno, auxilio administrativo</w:t>
      </w:r>
      <w:r w:rsidR="00ED391F" w:rsidRPr="005C79A3">
        <w:rPr>
          <w:rFonts w:ascii="Arial" w:hAnsi="Arial" w:cs="Arial"/>
          <w:color w:val="7F7F7F" w:themeColor="text1" w:themeTint="80"/>
          <w:szCs w:val="26"/>
          <w:lang w:val="es-MX"/>
        </w:rPr>
        <w:t>, etcétera) un gran número de procedimientos administrativos distintos, que exigen a su vez y según la especialidad propia de cada uno de ellos, una distinta regulación</w:t>
      </w:r>
      <w:r w:rsidR="00ED391F" w:rsidRPr="005C79A3">
        <w:rPr>
          <w:rStyle w:val="Refdenotaalpie"/>
          <w:rFonts w:ascii="Arial" w:hAnsi="Arial" w:cs="Arial"/>
          <w:color w:val="7F7F7F" w:themeColor="text1" w:themeTint="80"/>
          <w:szCs w:val="26"/>
          <w:lang w:val="es-MX"/>
        </w:rPr>
        <w:footnoteReference w:id="2"/>
      </w:r>
      <w:r w:rsidR="00ED391F" w:rsidRPr="005C79A3">
        <w:rPr>
          <w:rFonts w:ascii="Arial" w:hAnsi="Arial" w:cs="Arial"/>
          <w:color w:val="7F7F7F" w:themeColor="text1" w:themeTint="80"/>
          <w:szCs w:val="26"/>
          <w:lang w:val="es-MX"/>
        </w:rPr>
        <w:t xml:space="preserve"> (…).”</w:t>
      </w:r>
    </w:p>
    <w:p w:rsidR="00DF7017" w:rsidRPr="005C79A3" w:rsidRDefault="00DF7017" w:rsidP="00DF7017">
      <w:pPr>
        <w:spacing w:before="240"/>
        <w:rPr>
          <w:rFonts w:ascii="Arial" w:hAnsi="Arial" w:cs="Arial"/>
          <w:color w:val="7F7F7F" w:themeColor="text1" w:themeTint="80"/>
          <w:szCs w:val="26"/>
          <w:lang w:val="es-MX"/>
        </w:rPr>
      </w:pPr>
      <w:r w:rsidRPr="005C79A3">
        <w:rPr>
          <w:rFonts w:ascii="Arial" w:hAnsi="Arial" w:cs="Arial"/>
          <w:color w:val="7F7F7F" w:themeColor="text1" w:themeTint="80"/>
          <w:szCs w:val="26"/>
          <w:lang w:val="es-MX"/>
        </w:rPr>
        <w:tab/>
      </w:r>
      <w:r w:rsidR="00ED391F" w:rsidRPr="005C79A3">
        <w:rPr>
          <w:rFonts w:ascii="Arial" w:hAnsi="Arial" w:cs="Arial"/>
          <w:color w:val="7F7F7F" w:themeColor="text1" w:themeTint="80"/>
          <w:szCs w:val="26"/>
          <w:lang w:val="es-MX"/>
        </w:rPr>
        <w:t>Por otra parte, y dentro del tema que nos ocupa, l</w:t>
      </w:r>
      <w:r w:rsidRPr="005C79A3">
        <w:rPr>
          <w:rFonts w:ascii="Arial" w:hAnsi="Arial" w:cs="Arial"/>
          <w:color w:val="7F7F7F" w:themeColor="text1" w:themeTint="80"/>
          <w:szCs w:val="26"/>
          <w:lang w:val="es-MX"/>
        </w:rPr>
        <w:t>a consecuencia de no justificar la adecuada fundamentación y motivación de la reserva conforme a la aplicación de la prueba de daño consiste en que no se sustenta la misma,</w:t>
      </w:r>
      <w:r w:rsidR="00ED391F" w:rsidRPr="005C79A3">
        <w:rPr>
          <w:rFonts w:ascii="Arial" w:hAnsi="Arial" w:cs="Arial"/>
          <w:color w:val="7F7F7F" w:themeColor="text1" w:themeTint="80"/>
          <w:szCs w:val="26"/>
          <w:lang w:val="es-MX"/>
        </w:rPr>
        <w:t xml:space="preserve"> pues no se acredita</w:t>
      </w:r>
      <w:r w:rsidRPr="005C79A3">
        <w:rPr>
          <w:rFonts w:ascii="Arial" w:hAnsi="Arial" w:cs="Arial"/>
          <w:color w:val="7F7F7F" w:themeColor="text1" w:themeTint="80"/>
          <w:szCs w:val="26"/>
          <w:lang w:val="es-MX"/>
        </w:rPr>
        <w:t xml:space="preserve"> la afectación al interés público, que es el bien jurídico tutelado por la excepción que nos ocupa, lo cual </w:t>
      </w:r>
      <w:r w:rsidRPr="005C79A3">
        <w:rPr>
          <w:rFonts w:ascii="Arial" w:hAnsi="Arial" w:cs="Arial"/>
          <w:color w:val="7F7F7F" w:themeColor="text1" w:themeTint="80"/>
          <w:szCs w:val="26"/>
          <w:lang w:val="es-MX"/>
        </w:rPr>
        <w:lastRenderedPageBreak/>
        <w:t xml:space="preserve">implica un vicio </w:t>
      </w:r>
      <w:r w:rsidR="00ED391F" w:rsidRPr="005C79A3">
        <w:rPr>
          <w:rFonts w:ascii="Arial" w:hAnsi="Arial" w:cs="Arial"/>
          <w:color w:val="7F7F7F" w:themeColor="text1" w:themeTint="80"/>
          <w:szCs w:val="26"/>
          <w:lang w:val="es-MX"/>
        </w:rPr>
        <w:t>material</w:t>
      </w:r>
      <w:r w:rsidRPr="005C79A3">
        <w:rPr>
          <w:rFonts w:ascii="Arial" w:hAnsi="Arial" w:cs="Arial"/>
          <w:color w:val="7F7F7F" w:themeColor="text1" w:themeTint="80"/>
          <w:szCs w:val="26"/>
          <w:lang w:val="es-MX"/>
        </w:rPr>
        <w:t>. Tal ilegalidad trae consigo que no se acredite las causales de reserva invocada y por ello no subsiste la excepción hecha valer.</w:t>
      </w:r>
    </w:p>
    <w:p w:rsidR="00DF7017" w:rsidRPr="005C79A3" w:rsidRDefault="00DF7017" w:rsidP="00DF7017">
      <w:pPr>
        <w:spacing w:before="240"/>
        <w:rPr>
          <w:rFonts w:ascii="Arial" w:hAnsi="Arial" w:cs="Arial"/>
          <w:color w:val="7F7F7F" w:themeColor="text1" w:themeTint="80"/>
          <w:szCs w:val="26"/>
          <w:lang w:val="es-MX"/>
        </w:rPr>
      </w:pPr>
      <w:r w:rsidRPr="005C79A3">
        <w:rPr>
          <w:rFonts w:ascii="Arial" w:hAnsi="Arial" w:cs="Arial"/>
          <w:color w:val="7F7F7F" w:themeColor="text1" w:themeTint="80"/>
          <w:szCs w:val="26"/>
          <w:lang w:val="es-MX"/>
        </w:rPr>
        <w:tab/>
        <w:t xml:space="preserve">No obstante lo anterior, </w:t>
      </w:r>
      <w:r w:rsidR="00ED391F" w:rsidRPr="005C79A3">
        <w:rPr>
          <w:rFonts w:ascii="Arial" w:hAnsi="Arial" w:cs="Arial"/>
          <w:color w:val="7F7F7F" w:themeColor="text1" w:themeTint="80"/>
          <w:szCs w:val="26"/>
          <w:lang w:val="es-MX"/>
        </w:rPr>
        <w:t>cuando se emite una determinación de ese tipo (clasificación), no todo el contenido de los documentos clasificados configura los supuestos que reserva</w:t>
      </w:r>
      <w:r w:rsidRPr="005C79A3">
        <w:rPr>
          <w:rFonts w:ascii="Arial" w:hAnsi="Arial" w:cs="Arial"/>
          <w:color w:val="7F7F7F" w:themeColor="text1" w:themeTint="80"/>
          <w:szCs w:val="26"/>
          <w:lang w:val="es-MX"/>
        </w:rPr>
        <w:t xml:space="preserve">, lo cual </w:t>
      </w:r>
      <w:r w:rsidR="00ED391F" w:rsidRPr="005C79A3">
        <w:rPr>
          <w:rFonts w:ascii="Arial" w:hAnsi="Arial" w:cs="Arial"/>
          <w:color w:val="7F7F7F" w:themeColor="text1" w:themeTint="80"/>
          <w:szCs w:val="26"/>
          <w:lang w:val="es-MX"/>
        </w:rPr>
        <w:t>en correlación con el</w:t>
      </w:r>
      <w:r w:rsidRPr="005C79A3">
        <w:rPr>
          <w:rFonts w:ascii="Arial" w:hAnsi="Arial" w:cs="Arial"/>
          <w:color w:val="7F7F7F" w:themeColor="text1" w:themeTint="80"/>
          <w:szCs w:val="26"/>
          <w:lang w:val="es-MX"/>
        </w:rPr>
        <w:t xml:space="preserve"> artículo 125 de la Ley de Transparencia y Acceso a la información Pública</w:t>
      </w:r>
      <w:r w:rsidR="00ED391F" w:rsidRPr="005C79A3">
        <w:rPr>
          <w:rFonts w:ascii="Arial" w:hAnsi="Arial" w:cs="Arial"/>
          <w:color w:val="7F7F7F" w:themeColor="text1" w:themeTint="80"/>
          <w:szCs w:val="26"/>
          <w:lang w:val="es-MX"/>
        </w:rPr>
        <w:t>, permite que se entregue ciertas partes siempre que estas no violenten o vulneren la toma de decisiones, pues ese es el punto medular de la hipótesis de clasificación hecha valer por la autoridad; por ello, se transcribe el invocado artículo, mismo que</w:t>
      </w:r>
      <w:r w:rsidRPr="005C79A3">
        <w:rPr>
          <w:rFonts w:ascii="Arial" w:hAnsi="Arial" w:cs="Arial"/>
          <w:color w:val="7F7F7F" w:themeColor="text1" w:themeTint="80"/>
          <w:szCs w:val="26"/>
          <w:lang w:val="es-MX"/>
        </w:rPr>
        <w:t xml:space="preserve"> establece:</w:t>
      </w:r>
    </w:p>
    <w:p w:rsidR="00DF7017" w:rsidRPr="005C79A3" w:rsidRDefault="00DF7017" w:rsidP="00ED391F">
      <w:pPr>
        <w:spacing w:before="240" w:after="240" w:line="240" w:lineRule="auto"/>
        <w:ind w:left="709" w:firstLine="709"/>
        <w:rPr>
          <w:rFonts w:ascii="Arial" w:hAnsi="Arial" w:cs="Arial"/>
          <w:i/>
          <w:color w:val="7F7F7F" w:themeColor="text1" w:themeTint="80"/>
          <w:sz w:val="22"/>
          <w:szCs w:val="22"/>
        </w:rPr>
      </w:pPr>
      <w:r w:rsidRPr="005C79A3">
        <w:rPr>
          <w:rFonts w:ascii="Arial" w:hAnsi="Arial" w:cs="Arial"/>
          <w:i/>
          <w:color w:val="7F7F7F" w:themeColor="text1" w:themeTint="80"/>
          <w:sz w:val="22"/>
          <w:szCs w:val="22"/>
        </w:rPr>
        <w:t xml:space="preserve">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 </w:t>
      </w:r>
    </w:p>
    <w:p w:rsidR="00DF7017" w:rsidRPr="005C79A3" w:rsidRDefault="00DF7017" w:rsidP="00DF7017">
      <w:pPr>
        <w:ind w:firstLine="709"/>
        <w:rPr>
          <w:rFonts w:ascii="Arial" w:hAnsi="Arial" w:cs="Arial"/>
          <w:color w:val="7F7F7F" w:themeColor="text1" w:themeTint="80"/>
          <w:szCs w:val="26"/>
        </w:rPr>
      </w:pPr>
      <w:r w:rsidRPr="005C79A3">
        <w:rPr>
          <w:rFonts w:ascii="Arial" w:hAnsi="Arial" w:cs="Arial"/>
          <w:color w:val="7F7F7F" w:themeColor="text1" w:themeTint="80"/>
          <w:szCs w:val="26"/>
        </w:rPr>
        <w:t xml:space="preserve">El dispositivo antes citado establece que cuando la información contenga partes o secciones clasificadas, se deberá realizar el testado de éstas y proporcionar la información que no encuadre en el motivo de excepción; consecuentemente, en armonía a los fundamentos que se precisaron anteriormente, la autoridad debe adoptar la medida menos restrictiva </w:t>
      </w:r>
      <w:r w:rsidR="00ED391F" w:rsidRPr="005C79A3">
        <w:rPr>
          <w:rFonts w:ascii="Arial" w:hAnsi="Arial" w:cs="Arial"/>
          <w:color w:val="7F7F7F" w:themeColor="text1" w:themeTint="80"/>
          <w:szCs w:val="26"/>
        </w:rPr>
        <w:t>para el acceso a la información y determinar si aquello que es solicitado puede ser proporcionado pro no vulnerar el proceso deliberativo que precisa.</w:t>
      </w:r>
    </w:p>
    <w:p w:rsidR="00CD25CC" w:rsidRPr="005C79A3" w:rsidRDefault="00CD25CC" w:rsidP="00CD25CC">
      <w:pPr>
        <w:spacing w:before="240"/>
        <w:ind w:firstLine="709"/>
        <w:rPr>
          <w:rFonts w:ascii="Arial" w:hAnsi="Arial" w:cs="Arial"/>
          <w:color w:val="7F7F7F" w:themeColor="text1" w:themeTint="80"/>
          <w:szCs w:val="26"/>
        </w:rPr>
      </w:pPr>
      <w:r w:rsidRPr="005C79A3">
        <w:rPr>
          <w:rFonts w:ascii="Arial" w:hAnsi="Arial" w:cs="Arial"/>
          <w:color w:val="7F7F7F" w:themeColor="text1" w:themeTint="80"/>
          <w:szCs w:val="26"/>
        </w:rPr>
        <w:t xml:space="preserve">Ahora bien, la autoridad afirma que el recurrente realizó diversos señalamientos en los cuales afirma que éste alteró el sentido de su petición, pues son novedosas, ya que en su solicitud primigenia el recurrente solicita </w:t>
      </w:r>
      <w:r w:rsidR="003E0076" w:rsidRPr="005C79A3">
        <w:rPr>
          <w:rFonts w:ascii="Arial" w:hAnsi="Arial" w:cs="Arial"/>
          <w:color w:val="7F7F7F" w:themeColor="text1" w:themeTint="80"/>
          <w:szCs w:val="26"/>
        </w:rPr>
        <w:t>uncialmente</w:t>
      </w:r>
      <w:r w:rsidRPr="005C79A3">
        <w:rPr>
          <w:rFonts w:ascii="Arial" w:hAnsi="Arial" w:cs="Arial"/>
          <w:color w:val="7F7F7F" w:themeColor="text1" w:themeTint="80"/>
          <w:szCs w:val="26"/>
        </w:rPr>
        <w:t xml:space="preserve"> la etapa en que se encuentra le </w:t>
      </w:r>
      <w:r w:rsidR="003E0076" w:rsidRPr="005C79A3">
        <w:rPr>
          <w:rFonts w:ascii="Arial" w:hAnsi="Arial" w:cs="Arial"/>
          <w:color w:val="7F7F7F" w:themeColor="text1" w:themeTint="80"/>
          <w:szCs w:val="26"/>
        </w:rPr>
        <w:t>procedimiento</w:t>
      </w:r>
      <w:r w:rsidRPr="005C79A3">
        <w:rPr>
          <w:rFonts w:ascii="Arial" w:hAnsi="Arial" w:cs="Arial"/>
          <w:color w:val="7F7F7F" w:themeColor="text1" w:themeTint="80"/>
          <w:szCs w:val="26"/>
        </w:rPr>
        <w:t xml:space="preserve">, así como la fecha en que se </w:t>
      </w:r>
      <w:r w:rsidR="003E0076" w:rsidRPr="005C79A3">
        <w:rPr>
          <w:rFonts w:ascii="Arial" w:hAnsi="Arial" w:cs="Arial"/>
          <w:color w:val="7F7F7F" w:themeColor="text1" w:themeTint="80"/>
          <w:szCs w:val="26"/>
        </w:rPr>
        <w:t>h</w:t>
      </w:r>
      <w:r w:rsidRPr="005C79A3">
        <w:rPr>
          <w:rFonts w:ascii="Arial" w:hAnsi="Arial" w:cs="Arial"/>
          <w:color w:val="7F7F7F" w:themeColor="text1" w:themeTint="80"/>
          <w:szCs w:val="26"/>
        </w:rPr>
        <w:t>i</w:t>
      </w:r>
      <w:r w:rsidR="003E0076" w:rsidRPr="005C79A3">
        <w:rPr>
          <w:rFonts w:ascii="Arial" w:hAnsi="Arial" w:cs="Arial"/>
          <w:color w:val="7F7F7F" w:themeColor="text1" w:themeTint="80"/>
          <w:szCs w:val="26"/>
        </w:rPr>
        <w:t>z</w:t>
      </w:r>
      <w:r w:rsidRPr="005C79A3">
        <w:rPr>
          <w:rFonts w:ascii="Arial" w:hAnsi="Arial" w:cs="Arial"/>
          <w:color w:val="7F7F7F" w:themeColor="text1" w:themeTint="80"/>
          <w:szCs w:val="26"/>
        </w:rPr>
        <w:t>o del conocimiento del mismo al profesor que menciona</w:t>
      </w:r>
      <w:r w:rsidR="003E0076" w:rsidRPr="005C79A3">
        <w:rPr>
          <w:rFonts w:ascii="Arial" w:hAnsi="Arial" w:cs="Arial"/>
          <w:color w:val="7F7F7F" w:themeColor="text1" w:themeTint="80"/>
          <w:szCs w:val="26"/>
        </w:rPr>
        <w:t xml:space="preserve">; tales aseveraciones resultan  parcialmente ciertas, pues el particular pretendió alejarse del sentido original de su petición al introducir elementos novedosos a su petición </w:t>
      </w:r>
      <w:r w:rsidR="003E0076" w:rsidRPr="005C79A3">
        <w:rPr>
          <w:rFonts w:ascii="Arial" w:hAnsi="Arial" w:cs="Arial"/>
          <w:color w:val="7F7F7F" w:themeColor="text1" w:themeTint="80"/>
          <w:szCs w:val="26"/>
        </w:rPr>
        <w:lastRenderedPageBreak/>
        <w:t>inicial; empero, el particular, contrario a lo que sostiene la autoridad, requirió mas información de la que menciona, pues se insiste que lo que éste requirió fue lo siguiente:</w:t>
      </w:r>
    </w:p>
    <w:p w:rsidR="003E0076" w:rsidRPr="005C79A3" w:rsidRDefault="003E0076" w:rsidP="003E0076">
      <w:pPr>
        <w:pStyle w:val="Prrafodelista"/>
        <w:numPr>
          <w:ilvl w:val="0"/>
          <w:numId w:val="28"/>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Informe los actos o diligencias que realizó la supuesta “comisión Investigadora” dentro de la Escuela Secundaria Técnica número 1; Solicitando informe los actos o diligencias hechas y copias simples de las mismas.</w:t>
      </w:r>
    </w:p>
    <w:p w:rsidR="003E0076" w:rsidRPr="005C79A3" w:rsidRDefault="003E0076" w:rsidP="003E0076">
      <w:pPr>
        <w:pStyle w:val="Prrafodelista"/>
        <w:numPr>
          <w:ilvl w:val="0"/>
          <w:numId w:val="28"/>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Solicito copia simple de los documentos recabados por la supuesta “Comisión Investigadora” dentro de la Escuela Secundaria Técnica número 1.</w:t>
      </w:r>
    </w:p>
    <w:p w:rsidR="003E0076" w:rsidRPr="005C79A3" w:rsidRDefault="003E0076" w:rsidP="003E0076">
      <w:pPr>
        <w:pStyle w:val="Prrafodelista"/>
        <w:numPr>
          <w:ilvl w:val="0"/>
          <w:numId w:val="28"/>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En caso de que exista declaración de persona alguna en relación a la investigación hecha por la “Comisión Investigadora” dentro de la Escuela Secundaria Técnica número 1, solicito indique el nombre, puesto y funciones del declarante, así como copia simple del nombramiento vigente; así mismo, solicito copia simple de su nombramiento vigente; así mismo solicito copia simple de todo lo declarado por dicha persona... (sic).</w:t>
      </w:r>
    </w:p>
    <w:p w:rsidR="003E0076" w:rsidRPr="005C79A3" w:rsidRDefault="003E0076" w:rsidP="003E0076">
      <w:pPr>
        <w:pStyle w:val="Prrafodelista"/>
        <w:numPr>
          <w:ilvl w:val="0"/>
          <w:numId w:val="28"/>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Solicito indique el Coordinador General de la Unidad de Asuntos Jurídicos de la SEGE, si derivado de la investigación hecha por la “Comisión Investigadora”, dentro de la Escuela Secundaria Técnica número 1, empezó a o se encuentra en trámite un procedimiento de queja o de sanción administrativa, en contra del PROFESOR LUIS IGNACIO DIEGUEZ ROMERO; solicitando indique dicho Coordinador en que etapa o estatus se encuentra dicho procedimiento de queja.</w:t>
      </w:r>
    </w:p>
    <w:p w:rsidR="003E0076" w:rsidRPr="005C79A3" w:rsidRDefault="003E0076" w:rsidP="003E0076">
      <w:pPr>
        <w:pStyle w:val="Prrafodelista"/>
        <w:numPr>
          <w:ilvl w:val="0"/>
          <w:numId w:val="28"/>
        </w:numPr>
        <w:spacing w:after="200" w:line="240" w:lineRule="auto"/>
        <w:rPr>
          <w:rFonts w:ascii="Arial" w:eastAsia="Arial Unicode MS" w:hAnsi="Arial" w:cs="Arial"/>
          <w:i/>
          <w:color w:val="7F7F7F" w:themeColor="text1" w:themeTint="80"/>
          <w:sz w:val="22"/>
          <w:szCs w:val="22"/>
        </w:rPr>
      </w:pPr>
      <w:r w:rsidRPr="005C79A3">
        <w:rPr>
          <w:rFonts w:ascii="Arial" w:eastAsia="Arial Unicode MS" w:hAnsi="Arial" w:cs="Arial"/>
          <w:i/>
          <w:color w:val="7F7F7F" w:themeColor="text1" w:themeTint="80"/>
          <w:sz w:val="22"/>
          <w:szCs w:val="22"/>
        </w:rPr>
        <w:t>En caso de que exista un procedimiento de queja en contra del PROFESOR LUIS IGNACIO DIEGUEZ ROMERO en relación al unto anterior, indique el Coordinador General de la Unidad de Asuntos Jurídicos la fecha en que se citó al mencionado docente para que hiciera conocedor del procedimiento de queja y pudiera defenderse en términos del artículo 14 y 16 de la Constitución Política de los Estados Unidos Mexicanos, en donde salvaguardan la garantía de audiencia, legalidad y el debido proceso, por lo que solicito copia simple del citatorio entregado al PROFESOR LUIS IGNACIO DIEGUEZ ROMERO...”</w:t>
      </w:r>
    </w:p>
    <w:p w:rsidR="003E0076" w:rsidRPr="005C79A3" w:rsidRDefault="003E0076" w:rsidP="00CD25CC">
      <w:pPr>
        <w:spacing w:before="240"/>
        <w:ind w:firstLine="709"/>
        <w:rPr>
          <w:rFonts w:ascii="Arial" w:hAnsi="Arial" w:cs="Arial"/>
          <w:color w:val="7F7F7F" w:themeColor="text1" w:themeTint="80"/>
          <w:szCs w:val="26"/>
        </w:rPr>
      </w:pPr>
      <w:r w:rsidRPr="005C79A3">
        <w:rPr>
          <w:rFonts w:ascii="Arial" w:hAnsi="Arial" w:cs="Arial"/>
          <w:color w:val="7F7F7F" w:themeColor="text1" w:themeTint="80"/>
          <w:szCs w:val="26"/>
        </w:rPr>
        <w:t xml:space="preserve">Conforme a ello, la autoridad deberá determinar si aquello que fue solicitado por el particular </w:t>
      </w:r>
      <w:r w:rsidR="00743504" w:rsidRPr="005C79A3">
        <w:rPr>
          <w:rFonts w:ascii="Arial" w:hAnsi="Arial" w:cs="Arial"/>
          <w:color w:val="7F7F7F" w:themeColor="text1" w:themeTint="80"/>
          <w:szCs w:val="26"/>
        </w:rPr>
        <w:t>encuadra en la hipótesis de reserva que invoca, para lo cual deberá justificar a través del acuerdo que justifique a plenitud los extremos a que alude la Ley de Transparencia y Acceso a la Información Pública del Estado o, en su defecto, entregar la información solicitada.</w:t>
      </w:r>
    </w:p>
    <w:p w:rsidR="00743504" w:rsidRPr="005C79A3" w:rsidRDefault="00743504" w:rsidP="00743504">
      <w:pPr>
        <w:spacing w:before="240" w:after="240"/>
        <w:ind w:firstLine="708"/>
        <w:rPr>
          <w:rFonts w:ascii="Arial" w:hAnsi="Arial" w:cs="Arial"/>
          <w:color w:val="7F7F7F" w:themeColor="text1" w:themeTint="80"/>
          <w:szCs w:val="26"/>
        </w:rPr>
      </w:pPr>
      <w:r w:rsidRPr="005C79A3">
        <w:rPr>
          <w:rFonts w:ascii="Arial" w:hAnsi="Arial" w:cs="Arial"/>
          <w:color w:val="7F7F7F" w:themeColor="text1" w:themeTint="80"/>
          <w:szCs w:val="26"/>
        </w:rPr>
        <w:t xml:space="preserve">Por todo lo anterior, se puede corroborar que el motivo de disenso, en lo principal, resulta fundado, ya que el sujeto obligado  pretendió clasificar información sin que para ello lo justificara a través de la prueba de daño correspondiente; en consecuencia, con fundamento en el artículo 175, fracción III, de la Ley de Transparencia y Acceso a la Información </w:t>
      </w:r>
      <w:r w:rsidRPr="005C79A3">
        <w:rPr>
          <w:rFonts w:ascii="Arial" w:hAnsi="Arial" w:cs="Arial"/>
          <w:color w:val="7F7F7F" w:themeColor="text1" w:themeTint="80"/>
          <w:szCs w:val="26"/>
        </w:rPr>
        <w:lastRenderedPageBreak/>
        <w:t xml:space="preserve">Pública del Estado, se </w:t>
      </w:r>
      <w:r w:rsidRPr="005C79A3">
        <w:rPr>
          <w:rFonts w:ascii="Arial" w:hAnsi="Arial" w:cs="Arial"/>
          <w:b/>
          <w:color w:val="7F7F7F" w:themeColor="text1" w:themeTint="80"/>
          <w:szCs w:val="26"/>
        </w:rPr>
        <w:t>revoca</w:t>
      </w:r>
      <w:r w:rsidRPr="005C79A3">
        <w:rPr>
          <w:rFonts w:ascii="Arial" w:hAnsi="Arial" w:cs="Arial"/>
          <w:color w:val="7F7F7F" w:themeColor="text1" w:themeTint="80"/>
          <w:szCs w:val="26"/>
        </w:rPr>
        <w:t xml:space="preserve"> la respuesta de la autoridad en virtud de actualizarse lo establecido por el artículo 167, fracción I, de la Ley de Transparencia y Acceso a la Información Pública del Estado, y se conmina a la autoridad para el efecto de que:</w:t>
      </w:r>
    </w:p>
    <w:p w:rsidR="00743504" w:rsidRPr="005C79A3" w:rsidRDefault="00743504" w:rsidP="00743504">
      <w:pPr>
        <w:pStyle w:val="Prrafodelista"/>
        <w:numPr>
          <w:ilvl w:val="0"/>
          <w:numId w:val="29"/>
        </w:numPr>
        <w:spacing w:before="240" w:after="240"/>
        <w:rPr>
          <w:rFonts w:ascii="Arial" w:hAnsi="Arial" w:cs="Arial"/>
          <w:color w:val="7F7F7F" w:themeColor="text1" w:themeTint="80"/>
          <w:szCs w:val="26"/>
        </w:rPr>
      </w:pPr>
      <w:r w:rsidRPr="005C79A3">
        <w:rPr>
          <w:rFonts w:ascii="Arial" w:hAnsi="Arial" w:cs="Arial"/>
          <w:color w:val="7F7F7F" w:themeColor="text1" w:themeTint="80"/>
          <w:szCs w:val="26"/>
        </w:rPr>
        <w:t>Determine si resulta necesario clasificar la información solicitada por el particular.</w:t>
      </w:r>
    </w:p>
    <w:p w:rsidR="00743504" w:rsidRPr="005C79A3" w:rsidRDefault="00743504" w:rsidP="00743504">
      <w:pPr>
        <w:pStyle w:val="Prrafodelista"/>
        <w:numPr>
          <w:ilvl w:val="0"/>
          <w:numId w:val="29"/>
        </w:numPr>
        <w:spacing w:before="240" w:after="240"/>
        <w:rPr>
          <w:rFonts w:ascii="Arial" w:hAnsi="Arial" w:cs="Arial"/>
          <w:color w:val="7F7F7F" w:themeColor="text1" w:themeTint="80"/>
          <w:szCs w:val="26"/>
        </w:rPr>
      </w:pPr>
      <w:r w:rsidRPr="005C79A3">
        <w:rPr>
          <w:rFonts w:ascii="Arial" w:hAnsi="Arial" w:cs="Arial"/>
          <w:color w:val="7F7F7F" w:themeColor="text1" w:themeTint="80"/>
          <w:szCs w:val="26"/>
        </w:rPr>
        <w:t>Determine si existen partes o secciones que no sean sujetas de clasificación</w:t>
      </w:r>
    </w:p>
    <w:p w:rsidR="00743504" w:rsidRPr="005C79A3" w:rsidRDefault="00743504" w:rsidP="00743504">
      <w:pPr>
        <w:pStyle w:val="Prrafodelista"/>
        <w:numPr>
          <w:ilvl w:val="0"/>
          <w:numId w:val="29"/>
        </w:numPr>
        <w:spacing w:after="240"/>
        <w:rPr>
          <w:rFonts w:ascii="Arial" w:hAnsi="Arial" w:cs="Arial"/>
          <w:color w:val="7F7F7F" w:themeColor="text1" w:themeTint="80"/>
          <w:szCs w:val="26"/>
        </w:rPr>
      </w:pPr>
      <w:r w:rsidRPr="005C79A3">
        <w:rPr>
          <w:rFonts w:ascii="Arial" w:hAnsi="Arial" w:cs="Arial"/>
          <w:color w:val="7F7F7F" w:themeColor="text1" w:themeTint="80"/>
          <w:szCs w:val="26"/>
        </w:rPr>
        <w:t xml:space="preserve">En caso de que no se actualice la causal de reserva invocada originalmente, deberá entregar aquello que fue requerido por el particular. </w:t>
      </w:r>
    </w:p>
    <w:p w:rsidR="00743504" w:rsidRPr="005C79A3" w:rsidRDefault="00743504" w:rsidP="00743504">
      <w:pPr>
        <w:pStyle w:val="Prrafodelista"/>
        <w:spacing w:after="240"/>
        <w:ind w:left="1068"/>
        <w:rPr>
          <w:rFonts w:ascii="Arial" w:hAnsi="Arial" w:cs="Arial"/>
          <w:color w:val="7F7F7F" w:themeColor="text1" w:themeTint="80"/>
          <w:szCs w:val="26"/>
        </w:rPr>
      </w:pPr>
    </w:p>
    <w:p w:rsidR="00743504" w:rsidRPr="005C79A3" w:rsidRDefault="00743504" w:rsidP="00743504">
      <w:pPr>
        <w:pStyle w:val="Prrafodelista"/>
        <w:shd w:val="clear" w:color="auto" w:fill="FFFFFF"/>
        <w:spacing w:before="240" w:after="240"/>
        <w:ind w:left="0"/>
        <w:rPr>
          <w:rFonts w:ascii="Arial" w:hAnsi="Arial" w:cs="Arial"/>
          <w:color w:val="7F7F7F" w:themeColor="text1" w:themeTint="80"/>
          <w:szCs w:val="26"/>
          <w:lang w:eastAsia="es-MX"/>
        </w:rPr>
      </w:pPr>
      <w:r w:rsidRPr="005C79A3">
        <w:rPr>
          <w:rFonts w:ascii="Arial" w:hAnsi="Arial" w:cs="Arial"/>
          <w:color w:val="7F7F7F" w:themeColor="text1" w:themeTint="80"/>
        </w:rPr>
        <w:tab/>
      </w:r>
      <w:r w:rsidRPr="005C79A3">
        <w:rPr>
          <w:rFonts w:ascii="Arial" w:eastAsia="Arial Unicode MS" w:hAnsi="Arial" w:cs="Arial"/>
          <w:color w:val="7F7F7F" w:themeColor="text1" w:themeTint="80"/>
        </w:rPr>
        <w:t>Para efectos del cumplimiento de la presente resolución resulta pertinente tomar en cuenta las siguientes precisiones:</w:t>
      </w:r>
      <w:r w:rsidRPr="005C79A3">
        <w:rPr>
          <w:rFonts w:ascii="Arial" w:hAnsi="Arial" w:cs="Arial"/>
          <w:color w:val="7F7F7F" w:themeColor="text1" w:themeTint="80"/>
          <w:szCs w:val="26"/>
          <w:lang w:eastAsia="es-MX"/>
        </w:rPr>
        <w:t> </w:t>
      </w:r>
    </w:p>
    <w:p w:rsidR="00743504" w:rsidRPr="005C79A3" w:rsidRDefault="00743504" w:rsidP="00743504">
      <w:pPr>
        <w:spacing w:before="240"/>
        <w:rPr>
          <w:rFonts w:ascii="Arial" w:hAnsi="Arial" w:cs="Arial"/>
          <w:b/>
          <w:color w:val="7F7F7F" w:themeColor="text1" w:themeTint="80"/>
        </w:rPr>
      </w:pPr>
      <w:r w:rsidRPr="005C79A3">
        <w:rPr>
          <w:rFonts w:ascii="Arial" w:hAnsi="Arial" w:cs="Arial"/>
          <w:color w:val="7F7F7F" w:themeColor="text1" w:themeTint="80"/>
        </w:rPr>
        <w:tab/>
        <w:t xml:space="preserve">Con fundamento en los artículos 175, último párrafo y 183 de la Ley de Transparencia y Acceso a la Información Pública del Estado, se le concede al ente obligado el término de </w:t>
      </w:r>
      <w:r w:rsidRPr="005C79A3">
        <w:rPr>
          <w:rFonts w:ascii="Arial" w:hAnsi="Arial" w:cs="Arial"/>
          <w:b/>
          <w:color w:val="7F7F7F" w:themeColor="text1" w:themeTint="80"/>
        </w:rPr>
        <w:t xml:space="preserve">10 diez días, </w:t>
      </w:r>
      <w:r w:rsidRPr="005C79A3">
        <w:rPr>
          <w:rFonts w:ascii="Arial" w:hAnsi="Arial" w:cs="Arial"/>
          <w:b/>
          <w:bCs/>
          <w:color w:val="7F7F7F" w:themeColor="text1" w:themeTint="80"/>
          <w:szCs w:val="26"/>
          <w:lang w:val="es-MX" w:eastAsia="es-MX"/>
        </w:rPr>
        <w:t>contados a partir del día siguiente de su notificación,</w:t>
      </w:r>
      <w:r w:rsidRPr="005C79A3">
        <w:rPr>
          <w:rFonts w:ascii="Arial" w:hAnsi="Arial" w:cs="Arial"/>
          <w:b/>
          <w:color w:val="7F7F7F" w:themeColor="text1" w:themeTint="80"/>
        </w:rPr>
        <w:t xml:space="preserve"> para que de cumplimiento a lo ordenado en la presente resolución.</w:t>
      </w:r>
    </w:p>
    <w:p w:rsidR="00743504" w:rsidRPr="005C79A3" w:rsidRDefault="00743504" w:rsidP="00743504">
      <w:pPr>
        <w:spacing w:before="240"/>
        <w:rPr>
          <w:rFonts w:ascii="Arial" w:hAnsi="Arial" w:cs="Arial"/>
          <w:color w:val="7F7F7F" w:themeColor="text1" w:themeTint="80"/>
        </w:rPr>
      </w:pPr>
      <w:r w:rsidRPr="005C79A3">
        <w:rPr>
          <w:rFonts w:ascii="Arial" w:hAnsi="Arial" w:cs="Arial"/>
          <w:color w:val="7F7F7F" w:themeColor="text1" w:themeTint="80"/>
        </w:rPr>
        <w:tab/>
        <w:t>Se estima el plazo de 10 diez días, puesto que el ente obligado deberá entregar al particular lo requerido, por lo que en analogía al artículo 154 de la Ley de Transparencia y Acceso a la Información Pública es que se concede dicho término.</w:t>
      </w:r>
    </w:p>
    <w:p w:rsidR="00743504" w:rsidRPr="005C79A3" w:rsidRDefault="00743504" w:rsidP="00743504">
      <w:pPr>
        <w:shd w:val="clear" w:color="auto" w:fill="FFFFFF"/>
        <w:spacing w:before="240"/>
        <w:ind w:firstLine="708"/>
        <w:rPr>
          <w:rFonts w:ascii="Arial" w:hAnsi="Arial" w:cs="Arial"/>
          <w:b/>
          <w:bCs/>
          <w:color w:val="7F7F7F" w:themeColor="text1" w:themeTint="80"/>
          <w:szCs w:val="26"/>
          <w:lang w:val="es-MX" w:eastAsia="es-MX"/>
        </w:rPr>
      </w:pPr>
      <w:r w:rsidRPr="005C79A3">
        <w:rPr>
          <w:rFonts w:ascii="Arial" w:hAnsi="Arial" w:cs="Arial"/>
          <w:b/>
          <w:bCs/>
          <w:color w:val="7F7F7F" w:themeColor="text1" w:themeTint="80"/>
          <w:szCs w:val="26"/>
          <w:lang w:val="es-MX" w:eastAsia="es-MX"/>
        </w:rPr>
        <w:t xml:space="preserve">Una vez concluido dicho plazo, </w:t>
      </w:r>
      <w:r w:rsidRPr="005C79A3">
        <w:rPr>
          <w:rFonts w:ascii="Arial" w:hAnsi="Arial" w:cs="Arial"/>
          <w:color w:val="7F7F7F" w:themeColor="text1" w:themeTint="80"/>
          <w:szCs w:val="26"/>
          <w:lang w:val="es-MX" w:eastAsia="es-MX"/>
        </w:rPr>
        <w:t>dentro de los 03 tres días hábiles siguientes, deberá</w:t>
      </w:r>
      <w:r w:rsidRPr="005C79A3">
        <w:rPr>
          <w:rFonts w:ascii="Arial" w:hAnsi="Arial" w:cs="Arial"/>
          <w:b/>
          <w:bCs/>
          <w:color w:val="7F7F7F" w:themeColor="text1" w:themeTint="80"/>
          <w:szCs w:val="26"/>
          <w:lang w:val="es-MX" w:eastAsia="es-MX"/>
        </w:rPr>
        <w:t xml:space="preserve"> </w:t>
      </w:r>
      <w:r w:rsidRPr="005C79A3">
        <w:rPr>
          <w:rFonts w:ascii="Arial" w:hAnsi="Arial" w:cs="Arial"/>
          <w:color w:val="7F7F7F" w:themeColor="text1" w:themeTint="80"/>
          <w:szCs w:val="26"/>
          <w:lang w:val="es-MX" w:eastAsia="es-MX"/>
        </w:rPr>
        <w:t>informar el cumplimiento al presente fallo con los documentos fehacientes</w:t>
      </w:r>
      <w:r w:rsidRPr="005C79A3">
        <w:rPr>
          <w:rFonts w:ascii="Arial" w:hAnsi="Arial" w:cs="Arial"/>
          <w:color w:val="7F7F7F" w:themeColor="text1" w:themeTint="80"/>
          <w:lang w:val="es-MX" w:eastAsia="es-MX"/>
        </w:rPr>
        <w:t> </w:t>
      </w:r>
      <w:r w:rsidRPr="005C79A3">
        <w:rPr>
          <w:rFonts w:ascii="Arial" w:hAnsi="Arial" w:cs="Arial"/>
          <w:b/>
          <w:bCs/>
          <w:color w:val="7F7F7F" w:themeColor="text1" w:themeTint="80"/>
          <w:szCs w:val="26"/>
          <w:lang w:val="es-MX" w:eastAsia="es-MX"/>
        </w:rPr>
        <w:t>(</w:t>
      </w:r>
      <w:r w:rsidRPr="005C79A3">
        <w:rPr>
          <w:rFonts w:ascii="Arial" w:hAnsi="Arial" w:cs="Arial"/>
          <w:b/>
          <w:bCs/>
          <w:color w:val="7F7F7F" w:themeColor="text1" w:themeTint="80"/>
          <w:sz w:val="28"/>
          <w:szCs w:val="26"/>
          <w:u w:val="single"/>
          <w:lang w:val="es-MX" w:eastAsia="es-MX"/>
        </w:rPr>
        <w:t>originales o copia certificada de documentos y bandeja de salida del correo electrónico</w:t>
      </w:r>
      <w:r w:rsidRPr="005C79A3">
        <w:rPr>
          <w:rFonts w:ascii="Arial" w:hAnsi="Arial" w:cs="Arial"/>
          <w:b/>
          <w:bCs/>
          <w:color w:val="7F7F7F" w:themeColor="text1" w:themeTint="80"/>
          <w:szCs w:val="26"/>
          <w:lang w:val="es-MX" w:eastAsia="es-MX"/>
        </w:rPr>
        <w:t>),</w:t>
      </w:r>
      <w:r w:rsidRPr="005C79A3">
        <w:rPr>
          <w:rFonts w:ascii="Arial" w:hAnsi="Arial" w:cs="Arial"/>
          <w:color w:val="7F7F7F" w:themeColor="text1" w:themeTint="80"/>
          <w:lang w:val="es-MX" w:eastAsia="es-MX"/>
        </w:rPr>
        <w:t> </w:t>
      </w:r>
      <w:r w:rsidRPr="005C79A3">
        <w:rPr>
          <w:rFonts w:ascii="Arial" w:hAnsi="Arial" w:cs="Arial"/>
          <w:color w:val="7F7F7F" w:themeColor="text1" w:themeTint="80"/>
          <w:szCs w:val="26"/>
          <w:lang w:val="es-MX" w:eastAsia="es-MX"/>
        </w:rPr>
        <w:t>con fundamento en los artículos 177 y 184 de la Ley de Transparencia y Acceso a la Información Pública</w:t>
      </w:r>
      <w:r w:rsidRPr="005C79A3">
        <w:rPr>
          <w:rFonts w:ascii="Arial" w:hAnsi="Arial" w:cs="Arial"/>
          <w:color w:val="7F7F7F" w:themeColor="text1" w:themeTint="80"/>
          <w:lang w:val="es-MX" w:eastAsia="es-MX"/>
        </w:rPr>
        <w:t> </w:t>
      </w:r>
      <w:r w:rsidRPr="005C79A3">
        <w:rPr>
          <w:rFonts w:ascii="Arial" w:hAnsi="Arial" w:cs="Arial"/>
          <w:b/>
          <w:bCs/>
          <w:color w:val="7F7F7F" w:themeColor="text1" w:themeTint="80"/>
          <w:szCs w:val="26"/>
          <w:lang w:val="es-MX" w:eastAsia="es-MX"/>
        </w:rPr>
        <w:t xml:space="preserve">y en caso de no cumplir con esta resolución se dará vista con la denuncia correspondiente al Órgano </w:t>
      </w:r>
      <w:r w:rsidRPr="005C79A3">
        <w:rPr>
          <w:rFonts w:ascii="Arial" w:hAnsi="Arial" w:cs="Arial"/>
          <w:b/>
          <w:bCs/>
          <w:color w:val="7F7F7F" w:themeColor="text1" w:themeTint="80"/>
          <w:szCs w:val="26"/>
          <w:lang w:val="es-MX" w:eastAsia="es-MX"/>
        </w:rPr>
        <w:lastRenderedPageBreak/>
        <w:t>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Lo anterior, sin perjuicio de que esta Comisión realicé lo necesario para que se dé el debido cumplimiento a la presente resolución.</w:t>
      </w:r>
    </w:p>
    <w:p w:rsidR="00743504" w:rsidRPr="005C79A3" w:rsidRDefault="00743504" w:rsidP="00743504">
      <w:pPr>
        <w:spacing w:before="240"/>
        <w:rPr>
          <w:rFonts w:ascii="Arial" w:hAnsi="Arial" w:cs="Arial"/>
          <w:color w:val="7F7F7F" w:themeColor="text1" w:themeTint="80"/>
          <w:szCs w:val="26"/>
          <w:u w:val="single"/>
          <w:lang w:val="es-MX" w:eastAsia="es-MX"/>
        </w:rPr>
      </w:pPr>
      <w:r w:rsidRPr="005C79A3">
        <w:rPr>
          <w:rFonts w:ascii="Arial" w:hAnsi="Arial" w:cs="Arial"/>
          <w:bCs/>
          <w:color w:val="7F7F7F" w:themeColor="text1" w:themeTint="80"/>
          <w:szCs w:val="26"/>
          <w:lang w:val="es-MX" w:eastAsia="es-MX"/>
        </w:rPr>
        <w:tab/>
      </w:r>
      <w:r w:rsidRPr="005C79A3">
        <w:rPr>
          <w:rFonts w:ascii="Arial" w:hAnsi="Arial" w:cs="Arial"/>
          <w:bCs/>
          <w:color w:val="7F7F7F" w:themeColor="text1" w:themeTint="80"/>
          <w:szCs w:val="26"/>
          <w:u w:val="single"/>
          <w:lang w:val="es-MX" w:eastAsia="es-MX"/>
        </w:rPr>
        <w:t>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se le impondrán, de 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743504" w:rsidRPr="005C79A3" w:rsidRDefault="00743504" w:rsidP="00743504">
      <w:pPr>
        <w:spacing w:before="240" w:after="240"/>
        <w:rPr>
          <w:rFonts w:ascii="Arial" w:hAnsi="Arial" w:cs="Arial"/>
          <w:color w:val="7F7F7F" w:themeColor="text1" w:themeTint="80"/>
          <w:szCs w:val="26"/>
          <w:lang w:val="es-MX" w:eastAsia="es-MX"/>
        </w:rPr>
      </w:pPr>
      <w:r w:rsidRPr="005C79A3">
        <w:rPr>
          <w:rFonts w:ascii="Arial" w:hAnsi="Arial" w:cs="Arial"/>
          <w:color w:val="7F7F7F" w:themeColor="text1" w:themeTint="80"/>
          <w:szCs w:val="26"/>
          <w:lang w:val="es-MX" w:eastAsia="es-MX"/>
        </w:rPr>
        <w:t>Por lo anteriormente expuesto y fundado se:</w:t>
      </w:r>
    </w:p>
    <w:p w:rsidR="00743504" w:rsidRPr="005C79A3" w:rsidRDefault="00743504" w:rsidP="00743504">
      <w:pPr>
        <w:shd w:val="clear" w:color="auto" w:fill="FFFFFF"/>
        <w:jc w:val="center"/>
        <w:outlineLvl w:val="0"/>
        <w:rPr>
          <w:rFonts w:ascii="Arial" w:hAnsi="Arial" w:cs="Arial"/>
          <w:b/>
          <w:bCs/>
          <w:color w:val="7F7F7F" w:themeColor="text1" w:themeTint="80"/>
          <w:szCs w:val="26"/>
          <w:lang w:val="es-MX" w:eastAsia="es-MX"/>
        </w:rPr>
      </w:pPr>
      <w:r w:rsidRPr="005C79A3">
        <w:rPr>
          <w:rFonts w:ascii="Arial" w:hAnsi="Arial" w:cs="Arial"/>
          <w:b/>
          <w:bCs/>
          <w:color w:val="7F7F7F" w:themeColor="text1" w:themeTint="80"/>
          <w:szCs w:val="26"/>
          <w:lang w:val="es-MX" w:eastAsia="es-MX"/>
        </w:rPr>
        <w:t>R E S U E L V E:</w:t>
      </w:r>
    </w:p>
    <w:p w:rsidR="00743504" w:rsidRPr="005C79A3" w:rsidRDefault="00743504" w:rsidP="00743504">
      <w:pPr>
        <w:spacing w:before="240" w:after="240"/>
        <w:rPr>
          <w:rFonts w:ascii="Arial" w:hAnsi="Arial" w:cs="Arial"/>
          <w:color w:val="7F7F7F" w:themeColor="text1" w:themeTint="80"/>
        </w:rPr>
      </w:pPr>
      <w:r w:rsidRPr="005C79A3">
        <w:rPr>
          <w:rFonts w:ascii="Arial" w:hAnsi="Arial" w:cs="Arial"/>
          <w:b/>
          <w:color w:val="7F7F7F" w:themeColor="text1" w:themeTint="80"/>
        </w:rPr>
        <w:tab/>
        <w:t xml:space="preserve">ÚNICO. </w:t>
      </w:r>
      <w:r w:rsidRPr="005C79A3">
        <w:rPr>
          <w:rFonts w:ascii="Arial" w:hAnsi="Arial" w:cs="Arial"/>
          <w:color w:val="7F7F7F" w:themeColor="text1" w:themeTint="80"/>
        </w:rPr>
        <w:t xml:space="preserve">Se </w:t>
      </w:r>
      <w:r w:rsidRPr="005C79A3">
        <w:rPr>
          <w:rFonts w:ascii="Arial" w:hAnsi="Arial" w:cs="Arial"/>
          <w:b/>
          <w:color w:val="7F7F7F" w:themeColor="text1" w:themeTint="80"/>
        </w:rPr>
        <w:t>revoca</w:t>
      </w:r>
      <w:r w:rsidRPr="005C79A3">
        <w:rPr>
          <w:rFonts w:ascii="Arial" w:hAnsi="Arial" w:cs="Arial"/>
          <w:color w:val="7F7F7F" w:themeColor="text1" w:themeTint="80"/>
        </w:rPr>
        <w:t xml:space="preserve"> la respuesta emitida por el sujeto obligado por las razones expuestas en el considerando tercero de la presente resolución.</w:t>
      </w:r>
    </w:p>
    <w:p w:rsidR="00743504" w:rsidRPr="005C79A3" w:rsidRDefault="00743504" w:rsidP="00743504">
      <w:pPr>
        <w:spacing w:before="240" w:after="240"/>
        <w:rPr>
          <w:rFonts w:ascii="Arial" w:hAnsi="Arial" w:cs="Arial"/>
          <w:color w:val="7F7F7F" w:themeColor="text1" w:themeTint="80"/>
        </w:rPr>
      </w:pPr>
      <w:r w:rsidRPr="005C79A3">
        <w:rPr>
          <w:rFonts w:ascii="Arial" w:hAnsi="Arial" w:cs="Arial"/>
          <w:color w:val="7F7F7F" w:themeColor="text1" w:themeTint="80"/>
        </w:rPr>
        <w:tab/>
        <w:t>Notifíquese personalmente a las partes el contenido de la presente resolución, de conformidad con el artículo 177 de la Ley de Transparencia y Acceso a la Información Pública del Estado.</w:t>
      </w:r>
      <w:bookmarkStart w:id="0" w:name="_GoBack"/>
      <w:bookmarkEnd w:id="0"/>
    </w:p>
    <w:p w:rsidR="00743504" w:rsidRPr="005C79A3" w:rsidRDefault="00743504" w:rsidP="00743504">
      <w:pPr>
        <w:spacing w:before="240" w:after="240"/>
        <w:rPr>
          <w:rFonts w:ascii="Arial" w:hAnsi="Arial" w:cs="Arial"/>
          <w:color w:val="7F7F7F" w:themeColor="text1" w:themeTint="80"/>
        </w:rPr>
      </w:pPr>
      <w:r w:rsidRPr="005C79A3">
        <w:rPr>
          <w:rFonts w:ascii="Arial" w:hAnsi="Arial" w:cs="Arial"/>
          <w:color w:val="7F7F7F" w:themeColor="text1" w:themeTint="80"/>
        </w:rPr>
        <w:tab/>
        <w:t>La notificación que se realice al sujeto obligado será, con fundamento en el artículo 58 de la Ley de Transparencia y Acceso a la Información Pública del Estado, a través de la Unidad de Transparencia.</w:t>
      </w:r>
    </w:p>
    <w:p w:rsidR="00743504" w:rsidRPr="005C79A3" w:rsidRDefault="00743504" w:rsidP="00743504">
      <w:pPr>
        <w:spacing w:before="240" w:after="240"/>
        <w:rPr>
          <w:rFonts w:ascii="Arial" w:hAnsi="Arial" w:cs="Arial"/>
          <w:color w:val="7F7F7F" w:themeColor="text1" w:themeTint="80"/>
        </w:rPr>
      </w:pPr>
      <w:r w:rsidRPr="005C79A3">
        <w:rPr>
          <w:rFonts w:ascii="Arial" w:hAnsi="Arial" w:cs="Arial"/>
          <w:color w:val="7F7F7F" w:themeColor="text1" w:themeTint="80"/>
        </w:rPr>
        <w:lastRenderedPageBreak/>
        <w:tab/>
        <w:t>Se hace de conocimiento de la recurrente que, en caso de no estar de acuerdo con los términos de la resolución dictada, podrá impugnar la presente resolución, de manera optativa, a través del recurso de inconformidad que presente ante el Instituto Nacional de Transparencia, Acceso a la Información y Protección de Datos Personales, así como por medio del Juicio de Amparo indirecto que promueva ante el Poder Judicial de la Federación. Lo anterior con fundamento en el artículo 159 de la Ley General de Transparencia y Acceso a la Información Pública.</w:t>
      </w:r>
    </w:p>
    <w:p w:rsidR="00743504" w:rsidRPr="005C79A3" w:rsidRDefault="00743504" w:rsidP="00743504">
      <w:pPr>
        <w:spacing w:before="240" w:after="240"/>
        <w:rPr>
          <w:rFonts w:ascii="Arial" w:hAnsi="Arial" w:cs="Arial"/>
          <w:color w:val="7F7F7F" w:themeColor="text1" w:themeTint="80"/>
        </w:rPr>
      </w:pPr>
      <w:r w:rsidRPr="005C79A3">
        <w:rPr>
          <w:rFonts w:ascii="Arial" w:hAnsi="Arial" w:cs="Arial"/>
          <w:color w:val="7F7F7F" w:themeColor="text1" w:themeTint="80"/>
        </w:rPr>
        <w:tab/>
        <w:t>Así lo resuelve, por unanimidad de votos, el pleno de la Comisión Estatal de Garantía de Acceso a la Información Pública, conformado por los Comisionados  Alejando Lafuente Torres, Paulina Sánchez Pérez del Pozo y Claudia Elizabeth Ávalos Cedillo, en la sesión extraordinaria del once de abril de dos mil dieciocho, ante la Secretaria de Pleno Rosa María Motilla García.</w:t>
      </w:r>
    </w:p>
    <w:tbl>
      <w:tblPr>
        <w:tblStyle w:val="Tablaconcuadrcula"/>
        <w:tblW w:w="8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19"/>
        <w:gridCol w:w="4678"/>
      </w:tblGrid>
      <w:tr w:rsidR="00743504" w:rsidRPr="005C79A3" w:rsidTr="00F85F55">
        <w:tc>
          <w:tcPr>
            <w:tcW w:w="4219" w:type="dxa"/>
          </w:tcPr>
          <w:p w:rsidR="00743504" w:rsidRPr="005C79A3" w:rsidRDefault="00743504" w:rsidP="00F85F55">
            <w:pPr>
              <w:spacing w:after="240"/>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COMISIONADO PRESIDENTE</w:t>
            </w:r>
          </w:p>
          <w:p w:rsidR="00743504" w:rsidRPr="005C79A3" w:rsidRDefault="00743504" w:rsidP="00F85F55">
            <w:pPr>
              <w:spacing w:before="240" w:after="240"/>
              <w:jc w:val="center"/>
              <w:rPr>
                <w:rFonts w:ascii="Arial" w:hAnsi="Arial" w:cs="Arial"/>
                <w:b/>
                <w:color w:val="7F7F7F" w:themeColor="text1" w:themeTint="80"/>
                <w:sz w:val="24"/>
                <w:szCs w:val="26"/>
              </w:rPr>
            </w:pPr>
          </w:p>
          <w:p w:rsidR="00743504" w:rsidRPr="005C79A3" w:rsidRDefault="00743504" w:rsidP="00F85F55">
            <w:pPr>
              <w:spacing w:before="240" w:after="240"/>
              <w:jc w:val="center"/>
              <w:rPr>
                <w:rFonts w:ascii="Arial" w:hAnsi="Arial" w:cs="Arial"/>
                <w:color w:val="7F7F7F" w:themeColor="text1" w:themeTint="80"/>
              </w:rPr>
            </w:pPr>
            <w:r w:rsidRPr="005C79A3">
              <w:rPr>
                <w:rFonts w:ascii="Arial" w:hAnsi="Arial" w:cs="Arial"/>
                <w:b/>
                <w:color w:val="7F7F7F" w:themeColor="text1" w:themeTint="80"/>
                <w:sz w:val="24"/>
                <w:szCs w:val="26"/>
              </w:rPr>
              <w:t>ALEJANDRO LAFUENTE TORRES</w:t>
            </w:r>
          </w:p>
        </w:tc>
        <w:tc>
          <w:tcPr>
            <w:tcW w:w="4678" w:type="dxa"/>
          </w:tcPr>
          <w:p w:rsidR="00743504" w:rsidRPr="005C79A3" w:rsidRDefault="00743504" w:rsidP="00F85F55">
            <w:pPr>
              <w:spacing w:after="240"/>
              <w:ind w:left="48"/>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COMISIONADA</w:t>
            </w:r>
          </w:p>
          <w:p w:rsidR="00743504" w:rsidRPr="005C79A3" w:rsidRDefault="00743504" w:rsidP="00F85F55">
            <w:pPr>
              <w:spacing w:before="240" w:after="240"/>
              <w:jc w:val="center"/>
              <w:rPr>
                <w:rFonts w:ascii="Arial" w:hAnsi="Arial" w:cs="Arial"/>
                <w:b/>
                <w:color w:val="7F7F7F" w:themeColor="text1" w:themeTint="80"/>
                <w:sz w:val="24"/>
                <w:szCs w:val="26"/>
              </w:rPr>
            </w:pPr>
          </w:p>
          <w:p w:rsidR="00743504" w:rsidRPr="005C79A3" w:rsidRDefault="00743504" w:rsidP="00F85F55">
            <w:pPr>
              <w:spacing w:before="240" w:after="240"/>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PAULINA SÁNCHEZ PÉREZ DEL POZO</w:t>
            </w:r>
          </w:p>
          <w:p w:rsidR="00743504" w:rsidRPr="005C79A3" w:rsidRDefault="00743504" w:rsidP="00F85F55">
            <w:pPr>
              <w:spacing w:before="240" w:after="240"/>
              <w:jc w:val="center"/>
              <w:rPr>
                <w:rFonts w:ascii="Arial" w:hAnsi="Arial" w:cs="Arial"/>
                <w:color w:val="7F7F7F" w:themeColor="text1" w:themeTint="80"/>
              </w:rPr>
            </w:pPr>
          </w:p>
        </w:tc>
      </w:tr>
      <w:tr w:rsidR="00743504" w:rsidRPr="005C79A3" w:rsidTr="00F85F55">
        <w:trPr>
          <w:trHeight w:val="2075"/>
        </w:trPr>
        <w:tc>
          <w:tcPr>
            <w:tcW w:w="4219" w:type="dxa"/>
          </w:tcPr>
          <w:p w:rsidR="00743504" w:rsidRPr="005C79A3" w:rsidRDefault="00743504" w:rsidP="00F85F55">
            <w:pPr>
              <w:spacing w:after="240" w:line="276" w:lineRule="auto"/>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COMISIONADA</w:t>
            </w:r>
          </w:p>
          <w:p w:rsidR="00743504" w:rsidRPr="005C79A3" w:rsidRDefault="00743504" w:rsidP="00F85F55">
            <w:pPr>
              <w:spacing w:line="276" w:lineRule="auto"/>
              <w:rPr>
                <w:rFonts w:ascii="Arial" w:hAnsi="Arial" w:cs="Arial"/>
                <w:b/>
                <w:color w:val="7F7F7F" w:themeColor="text1" w:themeTint="80"/>
                <w:sz w:val="24"/>
                <w:szCs w:val="26"/>
              </w:rPr>
            </w:pPr>
          </w:p>
          <w:p w:rsidR="00743504" w:rsidRPr="005C79A3" w:rsidRDefault="00743504" w:rsidP="00F85F55">
            <w:pPr>
              <w:rPr>
                <w:rFonts w:ascii="Arial" w:hAnsi="Arial" w:cs="Arial"/>
                <w:b/>
                <w:color w:val="7F7F7F" w:themeColor="text1" w:themeTint="80"/>
                <w:sz w:val="24"/>
                <w:szCs w:val="26"/>
              </w:rPr>
            </w:pPr>
          </w:p>
          <w:p w:rsidR="00743504" w:rsidRPr="005C79A3" w:rsidRDefault="00743504" w:rsidP="00F85F55">
            <w:pPr>
              <w:spacing w:before="240" w:after="240" w:line="276" w:lineRule="auto"/>
              <w:jc w:val="center"/>
              <w:rPr>
                <w:rFonts w:ascii="Arial" w:hAnsi="Arial" w:cs="Arial"/>
                <w:color w:val="7F7F7F" w:themeColor="text1" w:themeTint="80"/>
              </w:rPr>
            </w:pPr>
            <w:r w:rsidRPr="005C79A3">
              <w:rPr>
                <w:rFonts w:ascii="Arial" w:hAnsi="Arial" w:cs="Arial"/>
                <w:b/>
                <w:color w:val="7F7F7F" w:themeColor="text1" w:themeTint="80"/>
                <w:sz w:val="24"/>
                <w:szCs w:val="26"/>
              </w:rPr>
              <w:t>CLAUDIA ELIZABETH ÁVALOS CEDILLO</w:t>
            </w:r>
          </w:p>
        </w:tc>
        <w:tc>
          <w:tcPr>
            <w:tcW w:w="4678" w:type="dxa"/>
          </w:tcPr>
          <w:p w:rsidR="00743504" w:rsidRPr="005C79A3" w:rsidRDefault="00743504" w:rsidP="00F85F55">
            <w:pPr>
              <w:ind w:left="48" w:firstLine="2"/>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SECRETARIA DE PLENO</w:t>
            </w:r>
          </w:p>
          <w:p w:rsidR="00743504" w:rsidRPr="005C79A3" w:rsidRDefault="00743504" w:rsidP="00F85F55">
            <w:pPr>
              <w:ind w:left="48"/>
              <w:jc w:val="center"/>
              <w:rPr>
                <w:rFonts w:ascii="Arial" w:hAnsi="Arial" w:cs="Arial"/>
                <w:b/>
                <w:color w:val="7F7F7F" w:themeColor="text1" w:themeTint="80"/>
                <w:sz w:val="24"/>
                <w:szCs w:val="26"/>
              </w:rPr>
            </w:pPr>
          </w:p>
          <w:p w:rsidR="00743504" w:rsidRPr="005C79A3" w:rsidRDefault="00743504" w:rsidP="00F85F55">
            <w:pPr>
              <w:spacing w:before="240"/>
              <w:rPr>
                <w:rFonts w:ascii="Arial" w:hAnsi="Arial" w:cs="Arial"/>
                <w:b/>
                <w:color w:val="7F7F7F" w:themeColor="text1" w:themeTint="80"/>
                <w:sz w:val="24"/>
                <w:szCs w:val="26"/>
              </w:rPr>
            </w:pPr>
          </w:p>
          <w:p w:rsidR="00743504" w:rsidRPr="005C79A3" w:rsidRDefault="00743504" w:rsidP="00F85F55">
            <w:pPr>
              <w:ind w:left="48"/>
              <w:jc w:val="center"/>
              <w:rPr>
                <w:rFonts w:ascii="Arial" w:hAnsi="Arial" w:cs="Arial"/>
                <w:b/>
                <w:color w:val="7F7F7F" w:themeColor="text1" w:themeTint="80"/>
                <w:sz w:val="24"/>
                <w:szCs w:val="26"/>
              </w:rPr>
            </w:pPr>
            <w:r w:rsidRPr="005C79A3">
              <w:rPr>
                <w:rFonts w:ascii="Arial" w:hAnsi="Arial" w:cs="Arial"/>
                <w:b/>
                <w:color w:val="7F7F7F" w:themeColor="text1" w:themeTint="80"/>
                <w:sz w:val="24"/>
                <w:szCs w:val="26"/>
              </w:rPr>
              <w:t>ROSA MARÍA MOTILLA GARCÍA</w:t>
            </w:r>
          </w:p>
        </w:tc>
      </w:tr>
    </w:tbl>
    <w:tbl>
      <w:tblPr>
        <w:tblW w:w="10613" w:type="dxa"/>
        <w:jc w:val="center"/>
        <w:tblLook w:val="01E0"/>
      </w:tblPr>
      <w:tblGrid>
        <w:gridCol w:w="4880"/>
        <w:gridCol w:w="358"/>
        <w:gridCol w:w="5375"/>
      </w:tblGrid>
      <w:tr w:rsidR="00743504" w:rsidRPr="005C79A3" w:rsidTr="00F85F55">
        <w:trPr>
          <w:trHeight w:val="126"/>
          <w:jc w:val="center"/>
        </w:trPr>
        <w:tc>
          <w:tcPr>
            <w:tcW w:w="4880" w:type="dxa"/>
          </w:tcPr>
          <w:p w:rsidR="00743504" w:rsidRPr="005C79A3" w:rsidRDefault="00743504" w:rsidP="00F85F55">
            <w:pPr>
              <w:ind w:left="97"/>
              <w:jc w:val="center"/>
              <w:rPr>
                <w:rFonts w:ascii="Arial" w:hAnsi="Arial" w:cs="Arial"/>
                <w:b/>
                <w:color w:val="7F7F7F" w:themeColor="text1" w:themeTint="80"/>
                <w:szCs w:val="26"/>
              </w:rPr>
            </w:pPr>
          </w:p>
        </w:tc>
        <w:tc>
          <w:tcPr>
            <w:tcW w:w="358" w:type="dxa"/>
          </w:tcPr>
          <w:p w:rsidR="00743504" w:rsidRPr="005C79A3" w:rsidRDefault="00743504" w:rsidP="00F85F55">
            <w:pPr>
              <w:ind w:left="360" w:firstLine="708"/>
              <w:jc w:val="center"/>
              <w:rPr>
                <w:rFonts w:ascii="Arial" w:hAnsi="Arial" w:cs="Arial"/>
                <w:b/>
                <w:color w:val="7F7F7F" w:themeColor="text1" w:themeTint="80"/>
                <w:szCs w:val="26"/>
              </w:rPr>
            </w:pPr>
          </w:p>
        </w:tc>
        <w:tc>
          <w:tcPr>
            <w:tcW w:w="5375" w:type="dxa"/>
          </w:tcPr>
          <w:p w:rsidR="00743504" w:rsidRPr="005C79A3" w:rsidRDefault="00743504" w:rsidP="00F85F55">
            <w:pPr>
              <w:jc w:val="center"/>
              <w:rPr>
                <w:rFonts w:ascii="Arial" w:hAnsi="Arial" w:cs="Arial"/>
                <w:b/>
                <w:color w:val="7F7F7F" w:themeColor="text1" w:themeTint="80"/>
                <w:szCs w:val="26"/>
              </w:rPr>
            </w:pPr>
          </w:p>
        </w:tc>
      </w:tr>
    </w:tbl>
    <w:p w:rsidR="00743504" w:rsidRPr="005C79A3" w:rsidRDefault="00743504" w:rsidP="00743504">
      <w:pPr>
        <w:spacing w:after="240" w:line="240" w:lineRule="auto"/>
        <w:rPr>
          <w:rFonts w:ascii="Arial" w:hAnsi="Arial" w:cs="Arial"/>
          <w:color w:val="7F7F7F" w:themeColor="text1" w:themeTint="80"/>
          <w:sz w:val="18"/>
        </w:rPr>
      </w:pPr>
      <w:r w:rsidRPr="005C79A3">
        <w:rPr>
          <w:rFonts w:ascii="Arial" w:hAnsi="Arial" w:cs="Arial"/>
          <w:color w:val="7F7F7F" w:themeColor="text1" w:themeTint="80"/>
          <w:sz w:val="18"/>
        </w:rPr>
        <w:tab/>
        <w:t>Estas firmas pertenecen a la última foja de la resolución pronunciada en el recurso de revisión  108/2018-3 aprobada en sesión extraordinaria del once de abril de dos mil dieciocho.</w:t>
      </w:r>
    </w:p>
    <w:p w:rsidR="00743504" w:rsidRPr="005C79A3" w:rsidRDefault="00743504" w:rsidP="00743504">
      <w:pPr>
        <w:spacing w:after="240" w:line="240" w:lineRule="auto"/>
        <w:rPr>
          <w:rFonts w:ascii="Arial" w:hAnsi="Arial" w:cs="Arial"/>
          <w:color w:val="7F7F7F" w:themeColor="text1" w:themeTint="80"/>
          <w:sz w:val="18"/>
        </w:rPr>
      </w:pPr>
      <w:r w:rsidRPr="005C79A3">
        <w:rPr>
          <w:rFonts w:ascii="Arial" w:hAnsi="Arial" w:cs="Arial"/>
          <w:color w:val="7F7F7F" w:themeColor="text1" w:themeTint="80"/>
          <w:sz w:val="18"/>
        </w:rPr>
        <w:t xml:space="preserve">Elaboró y Cotejó: </w:t>
      </w:r>
    </w:p>
    <w:p w:rsidR="00743504" w:rsidRDefault="00743504" w:rsidP="00743504">
      <w:pPr>
        <w:spacing w:after="240" w:line="240" w:lineRule="auto"/>
        <w:rPr>
          <w:rFonts w:ascii="Arial" w:hAnsi="Arial" w:cs="Arial"/>
          <w:color w:val="7F7F7F" w:themeColor="text1" w:themeTint="80"/>
        </w:rPr>
      </w:pPr>
      <w:r w:rsidRPr="005C79A3">
        <w:rPr>
          <w:rFonts w:ascii="Arial" w:hAnsi="Arial" w:cs="Arial"/>
          <w:color w:val="7F7F7F" w:themeColor="text1" w:themeTint="80"/>
          <w:sz w:val="18"/>
        </w:rPr>
        <w:t>EAGL</w:t>
      </w:r>
      <w:r w:rsidRPr="005C79A3">
        <w:rPr>
          <w:rFonts w:ascii="Arial" w:hAnsi="Arial" w:cs="Arial"/>
          <w:color w:val="7F7F7F" w:themeColor="text1" w:themeTint="80"/>
        </w:rPr>
        <w:tab/>
      </w:r>
    </w:p>
    <w:p w:rsidR="005C79A3" w:rsidRDefault="005C79A3" w:rsidP="00743504">
      <w:pPr>
        <w:spacing w:after="240" w:line="240" w:lineRule="auto"/>
        <w:rPr>
          <w:rFonts w:ascii="Arial" w:hAnsi="Arial" w:cs="Arial"/>
          <w:color w:val="7F7F7F" w:themeColor="text1" w:themeTint="80"/>
        </w:rPr>
      </w:pPr>
    </w:p>
    <w:p w:rsidR="005C79A3" w:rsidRDefault="005C79A3" w:rsidP="00743504">
      <w:pPr>
        <w:spacing w:after="240" w:line="240" w:lineRule="auto"/>
        <w:rPr>
          <w:rFonts w:ascii="Arial" w:hAnsi="Arial" w:cs="Arial"/>
          <w:color w:val="7F7F7F" w:themeColor="text1" w:themeTint="80"/>
        </w:rPr>
      </w:pPr>
    </w:p>
    <w:p w:rsidR="005C79A3" w:rsidRDefault="005C79A3" w:rsidP="00743504">
      <w:pPr>
        <w:spacing w:after="240" w:line="240" w:lineRule="auto"/>
        <w:rPr>
          <w:rFonts w:ascii="Arial" w:hAnsi="Arial" w:cs="Arial"/>
          <w:color w:val="7F7F7F" w:themeColor="text1" w:themeTint="80"/>
        </w:rPr>
      </w:pPr>
    </w:p>
    <w:p w:rsidR="005C79A3" w:rsidRPr="005C79A3" w:rsidRDefault="005C79A3" w:rsidP="00743504">
      <w:pPr>
        <w:spacing w:after="240" w:line="240" w:lineRule="auto"/>
        <w:rPr>
          <w:rFonts w:ascii="Arial" w:hAnsi="Arial" w:cs="Arial"/>
          <w:color w:val="7F7F7F" w:themeColor="text1" w:themeTint="80"/>
        </w:rPr>
      </w:pPr>
    </w:p>
    <w:sectPr w:rsidR="005C79A3" w:rsidRPr="005C79A3" w:rsidSect="00EE69A4">
      <w:headerReference w:type="even" r:id="rId12"/>
      <w:headerReference w:type="default" r:id="rId13"/>
      <w:headerReference w:type="first" r:id="rId14"/>
      <w:pgSz w:w="12240" w:h="20160" w:code="5"/>
      <w:pgMar w:top="3062" w:right="851" w:bottom="2495" w:left="2835"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670" w:rsidRDefault="003C6670" w:rsidP="00EE69A4">
      <w:pPr>
        <w:spacing w:line="240" w:lineRule="auto"/>
      </w:pPr>
      <w:r>
        <w:separator/>
      </w:r>
    </w:p>
  </w:endnote>
  <w:endnote w:type="continuationSeparator" w:id="0">
    <w:p w:rsidR="003C6670" w:rsidRDefault="003C6670" w:rsidP="00EE69A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670" w:rsidRDefault="003C6670" w:rsidP="00EE69A4">
      <w:pPr>
        <w:spacing w:line="240" w:lineRule="auto"/>
      </w:pPr>
      <w:r>
        <w:separator/>
      </w:r>
    </w:p>
  </w:footnote>
  <w:footnote w:type="continuationSeparator" w:id="0">
    <w:p w:rsidR="003C6670" w:rsidRDefault="003C6670" w:rsidP="00EE69A4">
      <w:pPr>
        <w:spacing w:line="240" w:lineRule="auto"/>
      </w:pPr>
      <w:r>
        <w:continuationSeparator/>
      </w:r>
    </w:p>
  </w:footnote>
  <w:footnote w:id="1">
    <w:p w:rsidR="00ED391F" w:rsidRPr="00D30712" w:rsidRDefault="00ED391F" w:rsidP="00DF7017">
      <w:pPr>
        <w:autoSpaceDE w:val="0"/>
        <w:autoSpaceDN w:val="0"/>
        <w:adjustRightInd w:val="0"/>
        <w:spacing w:line="240" w:lineRule="auto"/>
        <w:rPr>
          <w:rFonts w:ascii="Calibri" w:hAnsi="Calibri" w:cs="Calibri"/>
          <w:sz w:val="24"/>
          <w:lang w:val="es-MX" w:eastAsia="en-US"/>
        </w:rPr>
      </w:pPr>
      <w:r>
        <w:rPr>
          <w:rStyle w:val="Refdenotaalpie"/>
        </w:rPr>
        <w:footnoteRef/>
      </w:r>
      <w:r>
        <w:t xml:space="preserve"> </w:t>
      </w:r>
      <w:r w:rsidRPr="00D30712">
        <w:rPr>
          <w:rFonts w:ascii="Arial" w:hAnsi="Arial" w:cs="Arial"/>
          <w:bCs/>
          <w:sz w:val="20"/>
          <w:szCs w:val="20"/>
          <w:lang w:val="es-MX" w:eastAsia="en-US"/>
        </w:rPr>
        <w:t xml:space="preserve">EL DERECHO DE </w:t>
      </w:r>
      <w:r>
        <w:rPr>
          <w:rFonts w:ascii="Arial" w:hAnsi="Arial" w:cs="Arial"/>
          <w:bCs/>
          <w:sz w:val="20"/>
          <w:szCs w:val="20"/>
          <w:lang w:val="es-MX" w:eastAsia="en-US"/>
        </w:rPr>
        <w:t>ACCESO A LA INFORMACIÓN PÚBLICA EN LAS AMÉRICAS “</w:t>
      </w:r>
      <w:r w:rsidRPr="00D30712">
        <w:rPr>
          <w:rFonts w:ascii="Arial" w:hAnsi="Arial" w:cs="Arial"/>
          <w:bCs/>
          <w:sz w:val="20"/>
          <w:szCs w:val="20"/>
          <w:lang w:val="es-MX" w:eastAsia="en-US"/>
        </w:rPr>
        <w:t>Estándares Interamericanos y comparación de marcos legales</w:t>
      </w:r>
      <w:r>
        <w:rPr>
          <w:rFonts w:ascii="Arial" w:hAnsi="Arial" w:cs="Arial"/>
          <w:bCs/>
          <w:sz w:val="20"/>
          <w:szCs w:val="20"/>
          <w:lang w:val="es-MX" w:eastAsia="en-US"/>
        </w:rPr>
        <w:t>” (</w:t>
      </w:r>
      <w:r>
        <w:rPr>
          <w:rFonts w:ascii="Calibri" w:hAnsi="Calibri" w:cs="Calibri"/>
          <w:sz w:val="24"/>
          <w:lang w:val="es-MX" w:eastAsia="en-US"/>
        </w:rPr>
        <w:t xml:space="preserve">Relatoría Especial para la Libertad de Expresión Comisión Interamericana de Derechos Humanos) </w:t>
      </w:r>
      <w:proofErr w:type="spellStart"/>
      <w:r>
        <w:rPr>
          <w:rFonts w:ascii="Calibri" w:hAnsi="Calibri" w:cs="Calibri"/>
          <w:sz w:val="24"/>
          <w:lang w:val="es-MX" w:eastAsia="en-US"/>
        </w:rPr>
        <w:t>pag</w:t>
      </w:r>
      <w:proofErr w:type="spellEnd"/>
      <w:r>
        <w:rPr>
          <w:rFonts w:ascii="Calibri" w:hAnsi="Calibri" w:cs="Calibri"/>
          <w:sz w:val="24"/>
          <w:lang w:val="es-MX" w:eastAsia="en-US"/>
        </w:rPr>
        <w:t>. 5</w:t>
      </w:r>
    </w:p>
  </w:footnote>
  <w:footnote w:id="2">
    <w:p w:rsidR="00ED391F" w:rsidRPr="00ED391F" w:rsidRDefault="00ED391F">
      <w:pPr>
        <w:pStyle w:val="Textonotapie"/>
        <w:rPr>
          <w:lang w:val="es-MX"/>
        </w:rPr>
      </w:pPr>
      <w:r>
        <w:rPr>
          <w:rStyle w:val="Refdenotaalpie"/>
        </w:rPr>
        <w:footnoteRef/>
      </w:r>
      <w:r>
        <w:t xml:space="preserve"> </w:t>
      </w:r>
      <w:r>
        <w:rPr>
          <w:lang w:val="es-MX"/>
        </w:rPr>
        <w:t xml:space="preserve">Procedimiento Administrativo y Ejecución forzosa Administrativa , “procedimiento del procedimiento Administrativo”  </w:t>
      </w:r>
      <w:r w:rsidRPr="00ED391F">
        <w:rPr>
          <w:lang w:val="es-MX"/>
        </w:rPr>
        <w:t>https://archivos.juridicas.unam.mx/www/bjv/libros/7/3143/9.pdf</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69881"/>
      <w:docPartObj>
        <w:docPartGallery w:val="Page Numbers (Top of Page)"/>
        <w:docPartUnique/>
      </w:docPartObj>
    </w:sdtPr>
    <w:sdtContent>
      <w:p w:rsidR="00ED391F" w:rsidRDefault="00725E4E">
        <w:pPr>
          <w:pStyle w:val="Encabezado"/>
          <w:jc w:val="center"/>
        </w:pPr>
        <w:fldSimple w:instr=" PAGE   \* MERGEFORMAT ">
          <w:r w:rsidR="00ED391F">
            <w:rPr>
              <w:noProof/>
            </w:rPr>
            <w:t>2</w:t>
          </w:r>
        </w:fldSimple>
      </w:p>
    </w:sdtContent>
  </w:sdt>
  <w:p w:rsidR="00ED391F" w:rsidRDefault="00ED391F">
    <w:pPr>
      <w:pStyle w:val="Encabezado"/>
    </w:pPr>
    <w:r>
      <w:t>CEGAIP-RR-018/2016-3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69903"/>
      <w:docPartObj>
        <w:docPartGallery w:val="Page Numbers (Top of Page)"/>
        <w:docPartUnique/>
      </w:docPartObj>
    </w:sdtPr>
    <w:sdtContent>
      <w:p w:rsidR="00ED391F" w:rsidRDefault="00725E4E">
        <w:pPr>
          <w:pStyle w:val="Encabezado"/>
          <w:jc w:val="center"/>
        </w:pPr>
        <w:fldSimple w:instr=" PAGE   \* MERGEFORMAT ">
          <w:r w:rsidR="005C79A3">
            <w:rPr>
              <w:noProof/>
            </w:rPr>
            <w:t>16</w:t>
          </w:r>
        </w:fldSimple>
      </w:p>
    </w:sdtContent>
  </w:sdt>
  <w:p w:rsidR="00ED391F" w:rsidRPr="00EE69A4" w:rsidRDefault="00ED391F">
    <w:pPr>
      <w:pStyle w:val="Encabezado"/>
      <w:rPr>
        <w:lang w:val="es-MX"/>
      </w:rPr>
    </w:pPr>
    <w:r>
      <w:rPr>
        <w:lang w:val="es-MX"/>
      </w:rPr>
      <w:t>CEGAIP-RR- 108/2018-3</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91F" w:rsidRDefault="00ED391F">
    <w:pPr>
      <w:pStyle w:val="Encabezado"/>
      <w:jc w:val="center"/>
    </w:pPr>
  </w:p>
  <w:p w:rsidR="00ED391F" w:rsidRDefault="00ED391F">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94D62"/>
    <w:multiLevelType w:val="hybridMultilevel"/>
    <w:tmpl w:val="E196DE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20E7028"/>
    <w:multiLevelType w:val="hybridMultilevel"/>
    <w:tmpl w:val="0EF88380"/>
    <w:lvl w:ilvl="0" w:tplc="080A0011">
      <w:start w:val="1"/>
      <w:numFmt w:val="decimal"/>
      <w:lvlText w:val="%1)"/>
      <w:lvlJc w:val="left"/>
      <w:pPr>
        <w:ind w:left="1620" w:hanging="360"/>
      </w:pPr>
    </w:lvl>
    <w:lvl w:ilvl="1" w:tplc="080A0019" w:tentative="1">
      <w:start w:val="1"/>
      <w:numFmt w:val="lowerLetter"/>
      <w:lvlText w:val="%2."/>
      <w:lvlJc w:val="left"/>
      <w:pPr>
        <w:ind w:left="2340" w:hanging="360"/>
      </w:pPr>
    </w:lvl>
    <w:lvl w:ilvl="2" w:tplc="080A001B" w:tentative="1">
      <w:start w:val="1"/>
      <w:numFmt w:val="lowerRoman"/>
      <w:lvlText w:val="%3."/>
      <w:lvlJc w:val="right"/>
      <w:pPr>
        <w:ind w:left="3060" w:hanging="180"/>
      </w:pPr>
    </w:lvl>
    <w:lvl w:ilvl="3" w:tplc="080A000F" w:tentative="1">
      <w:start w:val="1"/>
      <w:numFmt w:val="decimal"/>
      <w:lvlText w:val="%4."/>
      <w:lvlJc w:val="left"/>
      <w:pPr>
        <w:ind w:left="3780" w:hanging="360"/>
      </w:pPr>
    </w:lvl>
    <w:lvl w:ilvl="4" w:tplc="080A0019" w:tentative="1">
      <w:start w:val="1"/>
      <w:numFmt w:val="lowerLetter"/>
      <w:lvlText w:val="%5."/>
      <w:lvlJc w:val="left"/>
      <w:pPr>
        <w:ind w:left="4500" w:hanging="360"/>
      </w:pPr>
    </w:lvl>
    <w:lvl w:ilvl="5" w:tplc="080A001B" w:tentative="1">
      <w:start w:val="1"/>
      <w:numFmt w:val="lowerRoman"/>
      <w:lvlText w:val="%6."/>
      <w:lvlJc w:val="right"/>
      <w:pPr>
        <w:ind w:left="5220" w:hanging="180"/>
      </w:pPr>
    </w:lvl>
    <w:lvl w:ilvl="6" w:tplc="080A000F" w:tentative="1">
      <w:start w:val="1"/>
      <w:numFmt w:val="decimal"/>
      <w:lvlText w:val="%7."/>
      <w:lvlJc w:val="left"/>
      <w:pPr>
        <w:ind w:left="5940" w:hanging="360"/>
      </w:pPr>
    </w:lvl>
    <w:lvl w:ilvl="7" w:tplc="080A0019" w:tentative="1">
      <w:start w:val="1"/>
      <w:numFmt w:val="lowerLetter"/>
      <w:lvlText w:val="%8."/>
      <w:lvlJc w:val="left"/>
      <w:pPr>
        <w:ind w:left="6660" w:hanging="360"/>
      </w:pPr>
    </w:lvl>
    <w:lvl w:ilvl="8" w:tplc="080A001B" w:tentative="1">
      <w:start w:val="1"/>
      <w:numFmt w:val="lowerRoman"/>
      <w:lvlText w:val="%9."/>
      <w:lvlJc w:val="right"/>
      <w:pPr>
        <w:ind w:left="7380" w:hanging="180"/>
      </w:pPr>
    </w:lvl>
  </w:abstractNum>
  <w:abstractNum w:abstractNumId="2">
    <w:nsid w:val="059302D5"/>
    <w:multiLevelType w:val="hybridMultilevel"/>
    <w:tmpl w:val="A198DAD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0FB95E26"/>
    <w:multiLevelType w:val="hybridMultilevel"/>
    <w:tmpl w:val="4E544E9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12601208"/>
    <w:multiLevelType w:val="hybridMultilevel"/>
    <w:tmpl w:val="F0E4E718"/>
    <w:lvl w:ilvl="0" w:tplc="F5AC49BA">
      <w:start w:val="1"/>
      <w:numFmt w:val="upperRoman"/>
      <w:lvlText w:val="%1."/>
      <w:lvlJc w:val="left"/>
      <w:pPr>
        <w:ind w:left="2340" w:hanging="720"/>
      </w:pPr>
      <w:rPr>
        <w:rFonts w:hint="default"/>
      </w:rPr>
    </w:lvl>
    <w:lvl w:ilvl="1" w:tplc="080A0019" w:tentative="1">
      <w:start w:val="1"/>
      <w:numFmt w:val="lowerLetter"/>
      <w:lvlText w:val="%2."/>
      <w:lvlJc w:val="left"/>
      <w:pPr>
        <w:ind w:left="2700" w:hanging="360"/>
      </w:pPr>
    </w:lvl>
    <w:lvl w:ilvl="2" w:tplc="080A001B" w:tentative="1">
      <w:start w:val="1"/>
      <w:numFmt w:val="lowerRoman"/>
      <w:lvlText w:val="%3."/>
      <w:lvlJc w:val="right"/>
      <w:pPr>
        <w:ind w:left="3420" w:hanging="180"/>
      </w:pPr>
    </w:lvl>
    <w:lvl w:ilvl="3" w:tplc="080A000F" w:tentative="1">
      <w:start w:val="1"/>
      <w:numFmt w:val="decimal"/>
      <w:lvlText w:val="%4."/>
      <w:lvlJc w:val="left"/>
      <w:pPr>
        <w:ind w:left="4140" w:hanging="360"/>
      </w:pPr>
    </w:lvl>
    <w:lvl w:ilvl="4" w:tplc="080A0019" w:tentative="1">
      <w:start w:val="1"/>
      <w:numFmt w:val="lowerLetter"/>
      <w:lvlText w:val="%5."/>
      <w:lvlJc w:val="left"/>
      <w:pPr>
        <w:ind w:left="4860" w:hanging="360"/>
      </w:pPr>
    </w:lvl>
    <w:lvl w:ilvl="5" w:tplc="080A001B" w:tentative="1">
      <w:start w:val="1"/>
      <w:numFmt w:val="lowerRoman"/>
      <w:lvlText w:val="%6."/>
      <w:lvlJc w:val="right"/>
      <w:pPr>
        <w:ind w:left="5580" w:hanging="180"/>
      </w:pPr>
    </w:lvl>
    <w:lvl w:ilvl="6" w:tplc="080A000F" w:tentative="1">
      <w:start w:val="1"/>
      <w:numFmt w:val="decimal"/>
      <w:lvlText w:val="%7."/>
      <w:lvlJc w:val="left"/>
      <w:pPr>
        <w:ind w:left="6300" w:hanging="360"/>
      </w:pPr>
    </w:lvl>
    <w:lvl w:ilvl="7" w:tplc="080A0019" w:tentative="1">
      <w:start w:val="1"/>
      <w:numFmt w:val="lowerLetter"/>
      <w:lvlText w:val="%8."/>
      <w:lvlJc w:val="left"/>
      <w:pPr>
        <w:ind w:left="7020" w:hanging="360"/>
      </w:pPr>
    </w:lvl>
    <w:lvl w:ilvl="8" w:tplc="080A001B" w:tentative="1">
      <w:start w:val="1"/>
      <w:numFmt w:val="lowerRoman"/>
      <w:lvlText w:val="%9."/>
      <w:lvlJc w:val="right"/>
      <w:pPr>
        <w:ind w:left="7740" w:hanging="180"/>
      </w:pPr>
    </w:lvl>
  </w:abstractNum>
  <w:abstractNum w:abstractNumId="5">
    <w:nsid w:val="12A61C8D"/>
    <w:multiLevelType w:val="hybridMultilevel"/>
    <w:tmpl w:val="94865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B926684"/>
    <w:multiLevelType w:val="hybridMultilevel"/>
    <w:tmpl w:val="2A0A0D2A"/>
    <w:lvl w:ilvl="0" w:tplc="080A0003">
      <w:start w:val="1"/>
      <w:numFmt w:val="bullet"/>
      <w:lvlText w:val="o"/>
      <w:lvlJc w:val="left"/>
      <w:pPr>
        <w:ind w:left="1287" w:hanging="360"/>
      </w:pPr>
      <w:rPr>
        <w:rFonts w:ascii="Courier New" w:hAnsi="Courier New" w:cs="Courier New"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7">
    <w:nsid w:val="1F036420"/>
    <w:multiLevelType w:val="hybridMultilevel"/>
    <w:tmpl w:val="E042E338"/>
    <w:lvl w:ilvl="0" w:tplc="080A000F">
      <w:start w:val="1"/>
      <w:numFmt w:val="decimal"/>
      <w:lvlText w:val="%1."/>
      <w:lvlJc w:val="lef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8">
    <w:nsid w:val="26873031"/>
    <w:multiLevelType w:val="hybridMultilevel"/>
    <w:tmpl w:val="523AF520"/>
    <w:lvl w:ilvl="0" w:tplc="8CAE5BD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9">
    <w:nsid w:val="2AB92AEF"/>
    <w:multiLevelType w:val="hybridMultilevel"/>
    <w:tmpl w:val="E57EA538"/>
    <w:lvl w:ilvl="0" w:tplc="5970B1A8">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nsid w:val="2FA059B5"/>
    <w:multiLevelType w:val="hybridMultilevel"/>
    <w:tmpl w:val="948A071E"/>
    <w:lvl w:ilvl="0" w:tplc="080A000F">
      <w:start w:val="1"/>
      <w:numFmt w:val="decimal"/>
      <w:lvlText w:val="%1."/>
      <w:lvlJc w:val="left"/>
      <w:pPr>
        <w:ind w:left="1693" w:hanging="360"/>
      </w:pPr>
    </w:lvl>
    <w:lvl w:ilvl="1" w:tplc="080A0019" w:tentative="1">
      <w:start w:val="1"/>
      <w:numFmt w:val="lowerLetter"/>
      <w:lvlText w:val="%2."/>
      <w:lvlJc w:val="left"/>
      <w:pPr>
        <w:ind w:left="2413" w:hanging="360"/>
      </w:pPr>
    </w:lvl>
    <w:lvl w:ilvl="2" w:tplc="080A001B" w:tentative="1">
      <w:start w:val="1"/>
      <w:numFmt w:val="lowerRoman"/>
      <w:lvlText w:val="%3."/>
      <w:lvlJc w:val="right"/>
      <w:pPr>
        <w:ind w:left="3133" w:hanging="180"/>
      </w:pPr>
    </w:lvl>
    <w:lvl w:ilvl="3" w:tplc="080A000F" w:tentative="1">
      <w:start w:val="1"/>
      <w:numFmt w:val="decimal"/>
      <w:lvlText w:val="%4."/>
      <w:lvlJc w:val="left"/>
      <w:pPr>
        <w:ind w:left="3853" w:hanging="360"/>
      </w:pPr>
    </w:lvl>
    <w:lvl w:ilvl="4" w:tplc="080A0019" w:tentative="1">
      <w:start w:val="1"/>
      <w:numFmt w:val="lowerLetter"/>
      <w:lvlText w:val="%5."/>
      <w:lvlJc w:val="left"/>
      <w:pPr>
        <w:ind w:left="4573" w:hanging="360"/>
      </w:pPr>
    </w:lvl>
    <w:lvl w:ilvl="5" w:tplc="080A001B" w:tentative="1">
      <w:start w:val="1"/>
      <w:numFmt w:val="lowerRoman"/>
      <w:lvlText w:val="%6."/>
      <w:lvlJc w:val="right"/>
      <w:pPr>
        <w:ind w:left="5293" w:hanging="180"/>
      </w:pPr>
    </w:lvl>
    <w:lvl w:ilvl="6" w:tplc="080A000F" w:tentative="1">
      <w:start w:val="1"/>
      <w:numFmt w:val="decimal"/>
      <w:lvlText w:val="%7."/>
      <w:lvlJc w:val="left"/>
      <w:pPr>
        <w:ind w:left="6013" w:hanging="360"/>
      </w:pPr>
    </w:lvl>
    <w:lvl w:ilvl="7" w:tplc="080A0019" w:tentative="1">
      <w:start w:val="1"/>
      <w:numFmt w:val="lowerLetter"/>
      <w:lvlText w:val="%8."/>
      <w:lvlJc w:val="left"/>
      <w:pPr>
        <w:ind w:left="6733" w:hanging="360"/>
      </w:pPr>
    </w:lvl>
    <w:lvl w:ilvl="8" w:tplc="080A001B" w:tentative="1">
      <w:start w:val="1"/>
      <w:numFmt w:val="lowerRoman"/>
      <w:lvlText w:val="%9."/>
      <w:lvlJc w:val="right"/>
      <w:pPr>
        <w:ind w:left="7453" w:hanging="180"/>
      </w:pPr>
    </w:lvl>
  </w:abstractNum>
  <w:abstractNum w:abstractNumId="11">
    <w:nsid w:val="3A2C6637"/>
    <w:multiLevelType w:val="hybridMultilevel"/>
    <w:tmpl w:val="0EF88380"/>
    <w:lvl w:ilvl="0" w:tplc="080A0011">
      <w:start w:val="1"/>
      <w:numFmt w:val="decimal"/>
      <w:lvlText w:val="%1)"/>
      <w:lvlJc w:val="left"/>
      <w:pPr>
        <w:ind w:left="1620" w:hanging="360"/>
      </w:pPr>
    </w:lvl>
    <w:lvl w:ilvl="1" w:tplc="080A0019" w:tentative="1">
      <w:start w:val="1"/>
      <w:numFmt w:val="lowerLetter"/>
      <w:lvlText w:val="%2."/>
      <w:lvlJc w:val="left"/>
      <w:pPr>
        <w:ind w:left="2340" w:hanging="360"/>
      </w:pPr>
    </w:lvl>
    <w:lvl w:ilvl="2" w:tplc="080A001B" w:tentative="1">
      <w:start w:val="1"/>
      <w:numFmt w:val="lowerRoman"/>
      <w:lvlText w:val="%3."/>
      <w:lvlJc w:val="right"/>
      <w:pPr>
        <w:ind w:left="3060" w:hanging="180"/>
      </w:pPr>
    </w:lvl>
    <w:lvl w:ilvl="3" w:tplc="080A000F" w:tentative="1">
      <w:start w:val="1"/>
      <w:numFmt w:val="decimal"/>
      <w:lvlText w:val="%4."/>
      <w:lvlJc w:val="left"/>
      <w:pPr>
        <w:ind w:left="3780" w:hanging="360"/>
      </w:pPr>
    </w:lvl>
    <w:lvl w:ilvl="4" w:tplc="080A0019" w:tentative="1">
      <w:start w:val="1"/>
      <w:numFmt w:val="lowerLetter"/>
      <w:lvlText w:val="%5."/>
      <w:lvlJc w:val="left"/>
      <w:pPr>
        <w:ind w:left="4500" w:hanging="360"/>
      </w:pPr>
    </w:lvl>
    <w:lvl w:ilvl="5" w:tplc="080A001B" w:tentative="1">
      <w:start w:val="1"/>
      <w:numFmt w:val="lowerRoman"/>
      <w:lvlText w:val="%6."/>
      <w:lvlJc w:val="right"/>
      <w:pPr>
        <w:ind w:left="5220" w:hanging="180"/>
      </w:pPr>
    </w:lvl>
    <w:lvl w:ilvl="6" w:tplc="080A000F" w:tentative="1">
      <w:start w:val="1"/>
      <w:numFmt w:val="decimal"/>
      <w:lvlText w:val="%7."/>
      <w:lvlJc w:val="left"/>
      <w:pPr>
        <w:ind w:left="5940" w:hanging="360"/>
      </w:pPr>
    </w:lvl>
    <w:lvl w:ilvl="7" w:tplc="080A0019" w:tentative="1">
      <w:start w:val="1"/>
      <w:numFmt w:val="lowerLetter"/>
      <w:lvlText w:val="%8."/>
      <w:lvlJc w:val="left"/>
      <w:pPr>
        <w:ind w:left="6660" w:hanging="360"/>
      </w:pPr>
    </w:lvl>
    <w:lvl w:ilvl="8" w:tplc="080A001B" w:tentative="1">
      <w:start w:val="1"/>
      <w:numFmt w:val="lowerRoman"/>
      <w:lvlText w:val="%9."/>
      <w:lvlJc w:val="right"/>
      <w:pPr>
        <w:ind w:left="7380" w:hanging="180"/>
      </w:pPr>
    </w:lvl>
  </w:abstractNum>
  <w:abstractNum w:abstractNumId="12">
    <w:nsid w:val="3B7F3FE2"/>
    <w:multiLevelType w:val="hybridMultilevel"/>
    <w:tmpl w:val="A7FC0084"/>
    <w:lvl w:ilvl="0" w:tplc="25BE3DBC">
      <w:start w:val="1"/>
      <w:numFmt w:val="upperRoman"/>
      <w:lvlText w:val="%1."/>
      <w:lvlJc w:val="left"/>
      <w:pPr>
        <w:ind w:left="1620" w:hanging="72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3C682739"/>
    <w:multiLevelType w:val="hybridMultilevel"/>
    <w:tmpl w:val="BD8088E4"/>
    <w:lvl w:ilvl="0" w:tplc="080A0001">
      <w:start w:val="1"/>
      <w:numFmt w:val="bullet"/>
      <w:lvlText w:val=""/>
      <w:lvlJc w:val="left"/>
      <w:pPr>
        <w:ind w:left="1548" w:hanging="360"/>
      </w:pPr>
      <w:rPr>
        <w:rFonts w:ascii="Symbol" w:hAnsi="Symbol" w:hint="default"/>
      </w:rPr>
    </w:lvl>
    <w:lvl w:ilvl="1" w:tplc="080A0003" w:tentative="1">
      <w:start w:val="1"/>
      <w:numFmt w:val="bullet"/>
      <w:lvlText w:val="o"/>
      <w:lvlJc w:val="left"/>
      <w:pPr>
        <w:ind w:left="2268" w:hanging="360"/>
      </w:pPr>
      <w:rPr>
        <w:rFonts w:ascii="Courier New" w:hAnsi="Courier New" w:cs="Courier New" w:hint="default"/>
      </w:rPr>
    </w:lvl>
    <w:lvl w:ilvl="2" w:tplc="080A0005" w:tentative="1">
      <w:start w:val="1"/>
      <w:numFmt w:val="bullet"/>
      <w:lvlText w:val=""/>
      <w:lvlJc w:val="left"/>
      <w:pPr>
        <w:ind w:left="2988" w:hanging="360"/>
      </w:pPr>
      <w:rPr>
        <w:rFonts w:ascii="Wingdings" w:hAnsi="Wingdings" w:hint="default"/>
      </w:rPr>
    </w:lvl>
    <w:lvl w:ilvl="3" w:tplc="080A0001" w:tentative="1">
      <w:start w:val="1"/>
      <w:numFmt w:val="bullet"/>
      <w:lvlText w:val=""/>
      <w:lvlJc w:val="left"/>
      <w:pPr>
        <w:ind w:left="3708" w:hanging="360"/>
      </w:pPr>
      <w:rPr>
        <w:rFonts w:ascii="Symbol" w:hAnsi="Symbol" w:hint="default"/>
      </w:rPr>
    </w:lvl>
    <w:lvl w:ilvl="4" w:tplc="080A0003" w:tentative="1">
      <w:start w:val="1"/>
      <w:numFmt w:val="bullet"/>
      <w:lvlText w:val="o"/>
      <w:lvlJc w:val="left"/>
      <w:pPr>
        <w:ind w:left="4428" w:hanging="360"/>
      </w:pPr>
      <w:rPr>
        <w:rFonts w:ascii="Courier New" w:hAnsi="Courier New" w:cs="Courier New" w:hint="default"/>
      </w:rPr>
    </w:lvl>
    <w:lvl w:ilvl="5" w:tplc="080A0005" w:tentative="1">
      <w:start w:val="1"/>
      <w:numFmt w:val="bullet"/>
      <w:lvlText w:val=""/>
      <w:lvlJc w:val="left"/>
      <w:pPr>
        <w:ind w:left="5148" w:hanging="360"/>
      </w:pPr>
      <w:rPr>
        <w:rFonts w:ascii="Wingdings" w:hAnsi="Wingdings" w:hint="default"/>
      </w:rPr>
    </w:lvl>
    <w:lvl w:ilvl="6" w:tplc="080A0001" w:tentative="1">
      <w:start w:val="1"/>
      <w:numFmt w:val="bullet"/>
      <w:lvlText w:val=""/>
      <w:lvlJc w:val="left"/>
      <w:pPr>
        <w:ind w:left="5868" w:hanging="360"/>
      </w:pPr>
      <w:rPr>
        <w:rFonts w:ascii="Symbol" w:hAnsi="Symbol" w:hint="default"/>
      </w:rPr>
    </w:lvl>
    <w:lvl w:ilvl="7" w:tplc="080A0003" w:tentative="1">
      <w:start w:val="1"/>
      <w:numFmt w:val="bullet"/>
      <w:lvlText w:val="o"/>
      <w:lvlJc w:val="left"/>
      <w:pPr>
        <w:ind w:left="6588" w:hanging="360"/>
      </w:pPr>
      <w:rPr>
        <w:rFonts w:ascii="Courier New" w:hAnsi="Courier New" w:cs="Courier New" w:hint="default"/>
      </w:rPr>
    </w:lvl>
    <w:lvl w:ilvl="8" w:tplc="080A0005" w:tentative="1">
      <w:start w:val="1"/>
      <w:numFmt w:val="bullet"/>
      <w:lvlText w:val=""/>
      <w:lvlJc w:val="left"/>
      <w:pPr>
        <w:ind w:left="7308" w:hanging="360"/>
      </w:pPr>
      <w:rPr>
        <w:rFonts w:ascii="Wingdings" w:hAnsi="Wingdings" w:hint="default"/>
      </w:rPr>
    </w:lvl>
  </w:abstractNum>
  <w:abstractNum w:abstractNumId="14">
    <w:nsid w:val="3FED1AF9"/>
    <w:multiLevelType w:val="hybridMultilevel"/>
    <w:tmpl w:val="09C2A20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45B16743"/>
    <w:multiLevelType w:val="hybridMultilevel"/>
    <w:tmpl w:val="737CC3B0"/>
    <w:lvl w:ilvl="0" w:tplc="CBEEFAFE">
      <w:start w:val="1"/>
      <w:numFmt w:val="decimal"/>
      <w:lvlText w:val="%1."/>
      <w:lvlJc w:val="left"/>
      <w:pPr>
        <w:tabs>
          <w:tab w:val="num" w:pos="720"/>
        </w:tabs>
        <w:ind w:left="720" w:hanging="360"/>
      </w:pPr>
    </w:lvl>
    <w:lvl w:ilvl="1" w:tplc="8AD453F6" w:tentative="1">
      <w:start w:val="1"/>
      <w:numFmt w:val="decimal"/>
      <w:lvlText w:val="%2."/>
      <w:lvlJc w:val="left"/>
      <w:pPr>
        <w:tabs>
          <w:tab w:val="num" w:pos="1440"/>
        </w:tabs>
        <w:ind w:left="1440" w:hanging="360"/>
      </w:pPr>
    </w:lvl>
    <w:lvl w:ilvl="2" w:tplc="947A7086" w:tentative="1">
      <w:start w:val="1"/>
      <w:numFmt w:val="decimal"/>
      <w:lvlText w:val="%3."/>
      <w:lvlJc w:val="left"/>
      <w:pPr>
        <w:tabs>
          <w:tab w:val="num" w:pos="2160"/>
        </w:tabs>
        <w:ind w:left="2160" w:hanging="360"/>
      </w:pPr>
    </w:lvl>
    <w:lvl w:ilvl="3" w:tplc="21CE55F4" w:tentative="1">
      <w:start w:val="1"/>
      <w:numFmt w:val="decimal"/>
      <w:lvlText w:val="%4."/>
      <w:lvlJc w:val="left"/>
      <w:pPr>
        <w:tabs>
          <w:tab w:val="num" w:pos="2880"/>
        </w:tabs>
        <w:ind w:left="2880" w:hanging="360"/>
      </w:pPr>
    </w:lvl>
    <w:lvl w:ilvl="4" w:tplc="D6A03E3C" w:tentative="1">
      <w:start w:val="1"/>
      <w:numFmt w:val="decimal"/>
      <w:lvlText w:val="%5."/>
      <w:lvlJc w:val="left"/>
      <w:pPr>
        <w:tabs>
          <w:tab w:val="num" w:pos="3600"/>
        </w:tabs>
        <w:ind w:left="3600" w:hanging="360"/>
      </w:pPr>
    </w:lvl>
    <w:lvl w:ilvl="5" w:tplc="F2AC402E" w:tentative="1">
      <w:start w:val="1"/>
      <w:numFmt w:val="decimal"/>
      <w:lvlText w:val="%6."/>
      <w:lvlJc w:val="left"/>
      <w:pPr>
        <w:tabs>
          <w:tab w:val="num" w:pos="4320"/>
        </w:tabs>
        <w:ind w:left="4320" w:hanging="360"/>
      </w:pPr>
    </w:lvl>
    <w:lvl w:ilvl="6" w:tplc="AA8C3E22" w:tentative="1">
      <w:start w:val="1"/>
      <w:numFmt w:val="decimal"/>
      <w:lvlText w:val="%7."/>
      <w:lvlJc w:val="left"/>
      <w:pPr>
        <w:tabs>
          <w:tab w:val="num" w:pos="5040"/>
        </w:tabs>
        <w:ind w:left="5040" w:hanging="360"/>
      </w:pPr>
    </w:lvl>
    <w:lvl w:ilvl="7" w:tplc="F42E0B50" w:tentative="1">
      <w:start w:val="1"/>
      <w:numFmt w:val="decimal"/>
      <w:lvlText w:val="%8."/>
      <w:lvlJc w:val="left"/>
      <w:pPr>
        <w:tabs>
          <w:tab w:val="num" w:pos="5760"/>
        </w:tabs>
        <w:ind w:left="5760" w:hanging="360"/>
      </w:pPr>
    </w:lvl>
    <w:lvl w:ilvl="8" w:tplc="4EEE54D4" w:tentative="1">
      <w:start w:val="1"/>
      <w:numFmt w:val="decimal"/>
      <w:lvlText w:val="%9."/>
      <w:lvlJc w:val="left"/>
      <w:pPr>
        <w:tabs>
          <w:tab w:val="num" w:pos="6480"/>
        </w:tabs>
        <w:ind w:left="6480" w:hanging="360"/>
      </w:pPr>
    </w:lvl>
  </w:abstractNum>
  <w:abstractNum w:abstractNumId="16">
    <w:nsid w:val="490E6854"/>
    <w:multiLevelType w:val="hybridMultilevel"/>
    <w:tmpl w:val="5A04E1CC"/>
    <w:lvl w:ilvl="0" w:tplc="990E1FC6">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51E34768"/>
    <w:multiLevelType w:val="hybridMultilevel"/>
    <w:tmpl w:val="417EF5D2"/>
    <w:lvl w:ilvl="0" w:tplc="056661B8">
      <w:start w:val="1"/>
      <w:numFmt w:val="decimal"/>
      <w:lvlText w:val="%1."/>
      <w:lvlJc w:val="left"/>
      <w:pPr>
        <w:tabs>
          <w:tab w:val="num" w:pos="720"/>
        </w:tabs>
        <w:ind w:left="720" w:hanging="360"/>
      </w:pPr>
    </w:lvl>
    <w:lvl w:ilvl="1" w:tplc="5B1E1CF0" w:tentative="1">
      <w:start w:val="1"/>
      <w:numFmt w:val="decimal"/>
      <w:lvlText w:val="%2."/>
      <w:lvlJc w:val="left"/>
      <w:pPr>
        <w:tabs>
          <w:tab w:val="num" w:pos="1440"/>
        </w:tabs>
        <w:ind w:left="1440" w:hanging="360"/>
      </w:pPr>
    </w:lvl>
    <w:lvl w:ilvl="2" w:tplc="A80089C6" w:tentative="1">
      <w:start w:val="1"/>
      <w:numFmt w:val="decimal"/>
      <w:lvlText w:val="%3."/>
      <w:lvlJc w:val="left"/>
      <w:pPr>
        <w:tabs>
          <w:tab w:val="num" w:pos="2160"/>
        </w:tabs>
        <w:ind w:left="2160" w:hanging="360"/>
      </w:pPr>
    </w:lvl>
    <w:lvl w:ilvl="3" w:tplc="1AB28644" w:tentative="1">
      <w:start w:val="1"/>
      <w:numFmt w:val="decimal"/>
      <w:lvlText w:val="%4."/>
      <w:lvlJc w:val="left"/>
      <w:pPr>
        <w:tabs>
          <w:tab w:val="num" w:pos="2880"/>
        </w:tabs>
        <w:ind w:left="2880" w:hanging="360"/>
      </w:pPr>
    </w:lvl>
    <w:lvl w:ilvl="4" w:tplc="58FACEF4" w:tentative="1">
      <w:start w:val="1"/>
      <w:numFmt w:val="decimal"/>
      <w:lvlText w:val="%5."/>
      <w:lvlJc w:val="left"/>
      <w:pPr>
        <w:tabs>
          <w:tab w:val="num" w:pos="3600"/>
        </w:tabs>
        <w:ind w:left="3600" w:hanging="360"/>
      </w:pPr>
    </w:lvl>
    <w:lvl w:ilvl="5" w:tplc="F3968B9A" w:tentative="1">
      <w:start w:val="1"/>
      <w:numFmt w:val="decimal"/>
      <w:lvlText w:val="%6."/>
      <w:lvlJc w:val="left"/>
      <w:pPr>
        <w:tabs>
          <w:tab w:val="num" w:pos="4320"/>
        </w:tabs>
        <w:ind w:left="4320" w:hanging="360"/>
      </w:pPr>
    </w:lvl>
    <w:lvl w:ilvl="6" w:tplc="3218508A" w:tentative="1">
      <w:start w:val="1"/>
      <w:numFmt w:val="decimal"/>
      <w:lvlText w:val="%7."/>
      <w:lvlJc w:val="left"/>
      <w:pPr>
        <w:tabs>
          <w:tab w:val="num" w:pos="5040"/>
        </w:tabs>
        <w:ind w:left="5040" w:hanging="360"/>
      </w:pPr>
    </w:lvl>
    <w:lvl w:ilvl="7" w:tplc="39C6F2F0" w:tentative="1">
      <w:start w:val="1"/>
      <w:numFmt w:val="decimal"/>
      <w:lvlText w:val="%8."/>
      <w:lvlJc w:val="left"/>
      <w:pPr>
        <w:tabs>
          <w:tab w:val="num" w:pos="5760"/>
        </w:tabs>
        <w:ind w:left="5760" w:hanging="360"/>
      </w:pPr>
    </w:lvl>
    <w:lvl w:ilvl="8" w:tplc="7430EE6E" w:tentative="1">
      <w:start w:val="1"/>
      <w:numFmt w:val="decimal"/>
      <w:lvlText w:val="%9."/>
      <w:lvlJc w:val="left"/>
      <w:pPr>
        <w:tabs>
          <w:tab w:val="num" w:pos="6480"/>
        </w:tabs>
        <w:ind w:left="6480" w:hanging="360"/>
      </w:pPr>
    </w:lvl>
  </w:abstractNum>
  <w:abstractNum w:abstractNumId="18">
    <w:nsid w:val="5B0F0E31"/>
    <w:multiLevelType w:val="hybridMultilevel"/>
    <w:tmpl w:val="30B4C71C"/>
    <w:lvl w:ilvl="0" w:tplc="080A0017">
      <w:start w:val="1"/>
      <w:numFmt w:val="lowerLetter"/>
      <w:lvlText w:val="%1)"/>
      <w:lvlJc w:val="left"/>
      <w:pPr>
        <w:ind w:left="1620" w:hanging="360"/>
      </w:pPr>
    </w:lvl>
    <w:lvl w:ilvl="1" w:tplc="080A0019" w:tentative="1">
      <w:start w:val="1"/>
      <w:numFmt w:val="lowerLetter"/>
      <w:lvlText w:val="%2."/>
      <w:lvlJc w:val="left"/>
      <w:pPr>
        <w:ind w:left="2340" w:hanging="360"/>
      </w:pPr>
    </w:lvl>
    <w:lvl w:ilvl="2" w:tplc="080A001B" w:tentative="1">
      <w:start w:val="1"/>
      <w:numFmt w:val="lowerRoman"/>
      <w:lvlText w:val="%3."/>
      <w:lvlJc w:val="right"/>
      <w:pPr>
        <w:ind w:left="3060" w:hanging="180"/>
      </w:pPr>
    </w:lvl>
    <w:lvl w:ilvl="3" w:tplc="080A000F" w:tentative="1">
      <w:start w:val="1"/>
      <w:numFmt w:val="decimal"/>
      <w:lvlText w:val="%4."/>
      <w:lvlJc w:val="left"/>
      <w:pPr>
        <w:ind w:left="3780" w:hanging="360"/>
      </w:pPr>
    </w:lvl>
    <w:lvl w:ilvl="4" w:tplc="080A0019" w:tentative="1">
      <w:start w:val="1"/>
      <w:numFmt w:val="lowerLetter"/>
      <w:lvlText w:val="%5."/>
      <w:lvlJc w:val="left"/>
      <w:pPr>
        <w:ind w:left="4500" w:hanging="360"/>
      </w:pPr>
    </w:lvl>
    <w:lvl w:ilvl="5" w:tplc="080A001B" w:tentative="1">
      <w:start w:val="1"/>
      <w:numFmt w:val="lowerRoman"/>
      <w:lvlText w:val="%6."/>
      <w:lvlJc w:val="right"/>
      <w:pPr>
        <w:ind w:left="5220" w:hanging="180"/>
      </w:pPr>
    </w:lvl>
    <w:lvl w:ilvl="6" w:tplc="080A000F" w:tentative="1">
      <w:start w:val="1"/>
      <w:numFmt w:val="decimal"/>
      <w:lvlText w:val="%7."/>
      <w:lvlJc w:val="left"/>
      <w:pPr>
        <w:ind w:left="5940" w:hanging="360"/>
      </w:pPr>
    </w:lvl>
    <w:lvl w:ilvl="7" w:tplc="080A0019" w:tentative="1">
      <w:start w:val="1"/>
      <w:numFmt w:val="lowerLetter"/>
      <w:lvlText w:val="%8."/>
      <w:lvlJc w:val="left"/>
      <w:pPr>
        <w:ind w:left="6660" w:hanging="360"/>
      </w:pPr>
    </w:lvl>
    <w:lvl w:ilvl="8" w:tplc="080A001B" w:tentative="1">
      <w:start w:val="1"/>
      <w:numFmt w:val="lowerRoman"/>
      <w:lvlText w:val="%9."/>
      <w:lvlJc w:val="right"/>
      <w:pPr>
        <w:ind w:left="7380" w:hanging="180"/>
      </w:pPr>
    </w:lvl>
  </w:abstractNum>
  <w:abstractNum w:abstractNumId="19">
    <w:nsid w:val="611D555D"/>
    <w:multiLevelType w:val="hybridMultilevel"/>
    <w:tmpl w:val="E042E338"/>
    <w:lvl w:ilvl="0" w:tplc="080A000F">
      <w:start w:val="1"/>
      <w:numFmt w:val="decimal"/>
      <w:lvlText w:val="%1."/>
      <w:lvlJc w:val="lef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20">
    <w:nsid w:val="67C371ED"/>
    <w:multiLevelType w:val="hybridMultilevel"/>
    <w:tmpl w:val="0FDA9CC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9507CDE"/>
    <w:multiLevelType w:val="hybridMultilevel"/>
    <w:tmpl w:val="32EAA78A"/>
    <w:lvl w:ilvl="0" w:tplc="080A0011">
      <w:start w:val="1"/>
      <w:numFmt w:val="decimal"/>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
    <w:nsid w:val="713257A7"/>
    <w:multiLevelType w:val="hybridMultilevel"/>
    <w:tmpl w:val="C0B22444"/>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3">
    <w:nsid w:val="75EB7F57"/>
    <w:multiLevelType w:val="hybridMultilevel"/>
    <w:tmpl w:val="045483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6F726A6"/>
    <w:multiLevelType w:val="hybridMultilevel"/>
    <w:tmpl w:val="3E607B36"/>
    <w:lvl w:ilvl="0" w:tplc="BB60C60C">
      <w:start w:val="1"/>
      <w:numFmt w:val="decimal"/>
      <w:lvlText w:val="%1."/>
      <w:lvlJc w:val="left"/>
      <w:pPr>
        <w:ind w:left="140" w:hanging="360"/>
      </w:pPr>
      <w:rPr>
        <w:rFonts w:hint="default"/>
      </w:rPr>
    </w:lvl>
    <w:lvl w:ilvl="1" w:tplc="080A0019" w:tentative="1">
      <w:start w:val="1"/>
      <w:numFmt w:val="lowerLetter"/>
      <w:lvlText w:val="%2."/>
      <w:lvlJc w:val="left"/>
      <w:pPr>
        <w:ind w:left="860" w:hanging="360"/>
      </w:pPr>
    </w:lvl>
    <w:lvl w:ilvl="2" w:tplc="080A001B" w:tentative="1">
      <w:start w:val="1"/>
      <w:numFmt w:val="lowerRoman"/>
      <w:lvlText w:val="%3."/>
      <w:lvlJc w:val="right"/>
      <w:pPr>
        <w:ind w:left="1580" w:hanging="180"/>
      </w:pPr>
    </w:lvl>
    <w:lvl w:ilvl="3" w:tplc="080A000F" w:tentative="1">
      <w:start w:val="1"/>
      <w:numFmt w:val="decimal"/>
      <w:lvlText w:val="%4."/>
      <w:lvlJc w:val="left"/>
      <w:pPr>
        <w:ind w:left="2300" w:hanging="360"/>
      </w:pPr>
    </w:lvl>
    <w:lvl w:ilvl="4" w:tplc="080A0019" w:tentative="1">
      <w:start w:val="1"/>
      <w:numFmt w:val="lowerLetter"/>
      <w:lvlText w:val="%5."/>
      <w:lvlJc w:val="left"/>
      <w:pPr>
        <w:ind w:left="3020" w:hanging="360"/>
      </w:pPr>
    </w:lvl>
    <w:lvl w:ilvl="5" w:tplc="080A001B" w:tentative="1">
      <w:start w:val="1"/>
      <w:numFmt w:val="lowerRoman"/>
      <w:lvlText w:val="%6."/>
      <w:lvlJc w:val="right"/>
      <w:pPr>
        <w:ind w:left="3740" w:hanging="180"/>
      </w:pPr>
    </w:lvl>
    <w:lvl w:ilvl="6" w:tplc="080A000F" w:tentative="1">
      <w:start w:val="1"/>
      <w:numFmt w:val="decimal"/>
      <w:lvlText w:val="%7."/>
      <w:lvlJc w:val="left"/>
      <w:pPr>
        <w:ind w:left="4460" w:hanging="360"/>
      </w:pPr>
    </w:lvl>
    <w:lvl w:ilvl="7" w:tplc="080A0019" w:tentative="1">
      <w:start w:val="1"/>
      <w:numFmt w:val="lowerLetter"/>
      <w:lvlText w:val="%8."/>
      <w:lvlJc w:val="left"/>
      <w:pPr>
        <w:ind w:left="5180" w:hanging="360"/>
      </w:pPr>
    </w:lvl>
    <w:lvl w:ilvl="8" w:tplc="080A001B" w:tentative="1">
      <w:start w:val="1"/>
      <w:numFmt w:val="lowerRoman"/>
      <w:lvlText w:val="%9."/>
      <w:lvlJc w:val="right"/>
      <w:pPr>
        <w:ind w:left="5900" w:hanging="180"/>
      </w:pPr>
    </w:lvl>
  </w:abstractNum>
  <w:abstractNum w:abstractNumId="25">
    <w:nsid w:val="77541E75"/>
    <w:multiLevelType w:val="hybridMultilevel"/>
    <w:tmpl w:val="6596B5A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nsid w:val="77973BFD"/>
    <w:multiLevelType w:val="hybridMultilevel"/>
    <w:tmpl w:val="247A9DDA"/>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7">
    <w:nsid w:val="79771AB0"/>
    <w:multiLevelType w:val="hybridMultilevel"/>
    <w:tmpl w:val="FA0AE230"/>
    <w:lvl w:ilvl="0" w:tplc="FB70C396">
      <w:start w:val="1"/>
      <w:numFmt w:val="decimal"/>
      <w:lvlText w:val="%1."/>
      <w:lvlJc w:val="left"/>
      <w:pPr>
        <w:ind w:left="1353" w:hanging="360"/>
      </w:pPr>
      <w:rPr>
        <w:rFonts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8">
    <w:nsid w:val="7A9D1ED9"/>
    <w:multiLevelType w:val="hybridMultilevel"/>
    <w:tmpl w:val="38A478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4"/>
  </w:num>
  <w:num w:numId="4">
    <w:abstractNumId w:val="24"/>
  </w:num>
  <w:num w:numId="5">
    <w:abstractNumId w:val="5"/>
  </w:num>
  <w:num w:numId="6">
    <w:abstractNumId w:val="27"/>
  </w:num>
  <w:num w:numId="7">
    <w:abstractNumId w:val="14"/>
  </w:num>
  <w:num w:numId="8">
    <w:abstractNumId w:val="21"/>
  </w:num>
  <w:num w:numId="9">
    <w:abstractNumId w:val="17"/>
  </w:num>
  <w:num w:numId="10">
    <w:abstractNumId w:val="15"/>
  </w:num>
  <w:num w:numId="11">
    <w:abstractNumId w:val="2"/>
  </w:num>
  <w:num w:numId="12">
    <w:abstractNumId w:val="28"/>
  </w:num>
  <w:num w:numId="13">
    <w:abstractNumId w:val="10"/>
  </w:num>
  <w:num w:numId="14">
    <w:abstractNumId w:val="9"/>
  </w:num>
  <w:num w:numId="15">
    <w:abstractNumId w:val="20"/>
  </w:num>
  <w:num w:numId="16">
    <w:abstractNumId w:val="6"/>
  </w:num>
  <w:num w:numId="17">
    <w:abstractNumId w:val="25"/>
  </w:num>
  <w:num w:numId="18">
    <w:abstractNumId w:val="0"/>
  </w:num>
  <w:num w:numId="19">
    <w:abstractNumId w:val="18"/>
  </w:num>
  <w:num w:numId="20">
    <w:abstractNumId w:val="11"/>
  </w:num>
  <w:num w:numId="21">
    <w:abstractNumId w:val="13"/>
  </w:num>
  <w:num w:numId="22">
    <w:abstractNumId w:val="1"/>
  </w:num>
  <w:num w:numId="23">
    <w:abstractNumId w:val="8"/>
  </w:num>
  <w:num w:numId="24">
    <w:abstractNumId w:val="23"/>
  </w:num>
  <w:num w:numId="25">
    <w:abstractNumId w:val="22"/>
  </w:num>
  <w:num w:numId="26">
    <w:abstractNumId w:val="26"/>
  </w:num>
  <w:num w:numId="27">
    <w:abstractNumId w:val="7"/>
  </w:num>
  <w:num w:numId="28">
    <w:abstractNumId w:val="19"/>
  </w:num>
  <w:num w:numId="29">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mirrorMargins/>
  <w:proofState w:spelling="clean" w:grammar="clean"/>
  <w:defaultTabStop w:val="708"/>
  <w:hyphenationZone w:val="425"/>
  <w:drawingGridHorizontalSpacing w:val="130"/>
  <w:displayHorizontalDrawingGridEvery w:val="2"/>
  <w:displayVerticalDrawingGridEvery w:val="2"/>
  <w:characterSpacingControl w:val="doNotCompress"/>
  <w:hdrShapeDefaults>
    <o:shapedefaults v:ext="edit" spidmax="23554">
      <o:colormru v:ext="edit" colors="white"/>
    </o:shapedefaults>
  </w:hdrShapeDefaults>
  <w:footnotePr>
    <w:footnote w:id="-1"/>
    <w:footnote w:id="0"/>
  </w:footnotePr>
  <w:endnotePr>
    <w:endnote w:id="-1"/>
    <w:endnote w:id="0"/>
  </w:endnotePr>
  <w:compat/>
  <w:rsids>
    <w:rsidRoot w:val="00547C44"/>
    <w:rsid w:val="00000037"/>
    <w:rsid w:val="00002191"/>
    <w:rsid w:val="000050A2"/>
    <w:rsid w:val="00012C6C"/>
    <w:rsid w:val="00014CF1"/>
    <w:rsid w:val="00016A4B"/>
    <w:rsid w:val="000177DD"/>
    <w:rsid w:val="000214B4"/>
    <w:rsid w:val="00021A3D"/>
    <w:rsid w:val="000251CB"/>
    <w:rsid w:val="00037F84"/>
    <w:rsid w:val="00041B81"/>
    <w:rsid w:val="000451BF"/>
    <w:rsid w:val="00046F41"/>
    <w:rsid w:val="000519A6"/>
    <w:rsid w:val="000526E6"/>
    <w:rsid w:val="000572DA"/>
    <w:rsid w:val="00062D73"/>
    <w:rsid w:val="0006450E"/>
    <w:rsid w:val="00075EEE"/>
    <w:rsid w:val="00082B44"/>
    <w:rsid w:val="0008378B"/>
    <w:rsid w:val="000925EF"/>
    <w:rsid w:val="00092EBF"/>
    <w:rsid w:val="00095AB3"/>
    <w:rsid w:val="000A1239"/>
    <w:rsid w:val="000A283E"/>
    <w:rsid w:val="000A2A7E"/>
    <w:rsid w:val="000A46A5"/>
    <w:rsid w:val="000A7189"/>
    <w:rsid w:val="000A7B80"/>
    <w:rsid w:val="000A7F2C"/>
    <w:rsid w:val="000B4079"/>
    <w:rsid w:val="000C78EE"/>
    <w:rsid w:val="000D3267"/>
    <w:rsid w:val="000E559A"/>
    <w:rsid w:val="000F2F54"/>
    <w:rsid w:val="000F6AFB"/>
    <w:rsid w:val="0010145A"/>
    <w:rsid w:val="00102DC5"/>
    <w:rsid w:val="00121404"/>
    <w:rsid w:val="00123FAF"/>
    <w:rsid w:val="00124668"/>
    <w:rsid w:val="00130C29"/>
    <w:rsid w:val="00142DD2"/>
    <w:rsid w:val="001522A2"/>
    <w:rsid w:val="00154824"/>
    <w:rsid w:val="00157B72"/>
    <w:rsid w:val="00160177"/>
    <w:rsid w:val="0016050B"/>
    <w:rsid w:val="00161C83"/>
    <w:rsid w:val="00163339"/>
    <w:rsid w:val="001656E9"/>
    <w:rsid w:val="00166B10"/>
    <w:rsid w:val="00167041"/>
    <w:rsid w:val="0017104F"/>
    <w:rsid w:val="00172E02"/>
    <w:rsid w:val="00174F0E"/>
    <w:rsid w:val="001773E6"/>
    <w:rsid w:val="00177EEC"/>
    <w:rsid w:val="001820D2"/>
    <w:rsid w:val="00190533"/>
    <w:rsid w:val="001950DF"/>
    <w:rsid w:val="0019684C"/>
    <w:rsid w:val="001A3095"/>
    <w:rsid w:val="001A7205"/>
    <w:rsid w:val="001B0E21"/>
    <w:rsid w:val="001B74B0"/>
    <w:rsid w:val="001C0785"/>
    <w:rsid w:val="001C146D"/>
    <w:rsid w:val="001C3394"/>
    <w:rsid w:val="001D23A4"/>
    <w:rsid w:val="001E0013"/>
    <w:rsid w:val="001E5EC5"/>
    <w:rsid w:val="001F2529"/>
    <w:rsid w:val="001F4480"/>
    <w:rsid w:val="001F58D0"/>
    <w:rsid w:val="001F7A51"/>
    <w:rsid w:val="00211510"/>
    <w:rsid w:val="00214146"/>
    <w:rsid w:val="002205AD"/>
    <w:rsid w:val="002209A9"/>
    <w:rsid w:val="00230184"/>
    <w:rsid w:val="0023510D"/>
    <w:rsid w:val="00241442"/>
    <w:rsid w:val="00242795"/>
    <w:rsid w:val="00244015"/>
    <w:rsid w:val="00244511"/>
    <w:rsid w:val="00247534"/>
    <w:rsid w:val="00256CA2"/>
    <w:rsid w:val="00261BC8"/>
    <w:rsid w:val="00266BAC"/>
    <w:rsid w:val="002670F1"/>
    <w:rsid w:val="00277897"/>
    <w:rsid w:val="002866A6"/>
    <w:rsid w:val="00287D56"/>
    <w:rsid w:val="002A0FC4"/>
    <w:rsid w:val="002B03BB"/>
    <w:rsid w:val="002B16FD"/>
    <w:rsid w:val="002B1D0C"/>
    <w:rsid w:val="002B2FB4"/>
    <w:rsid w:val="002B66F2"/>
    <w:rsid w:val="002B7451"/>
    <w:rsid w:val="002C0A19"/>
    <w:rsid w:val="002C1A5C"/>
    <w:rsid w:val="002C476E"/>
    <w:rsid w:val="002D3512"/>
    <w:rsid w:val="002D494E"/>
    <w:rsid w:val="002E00B9"/>
    <w:rsid w:val="002E0B85"/>
    <w:rsid w:val="002E4412"/>
    <w:rsid w:val="002E5A8B"/>
    <w:rsid w:val="002E615D"/>
    <w:rsid w:val="002F279B"/>
    <w:rsid w:val="00300904"/>
    <w:rsid w:val="003064FB"/>
    <w:rsid w:val="00306F3A"/>
    <w:rsid w:val="0031316B"/>
    <w:rsid w:val="00313A31"/>
    <w:rsid w:val="00316BEC"/>
    <w:rsid w:val="00327BCE"/>
    <w:rsid w:val="003360E4"/>
    <w:rsid w:val="00336FD2"/>
    <w:rsid w:val="00340116"/>
    <w:rsid w:val="003413B0"/>
    <w:rsid w:val="00351465"/>
    <w:rsid w:val="0035485F"/>
    <w:rsid w:val="00360E11"/>
    <w:rsid w:val="003622FB"/>
    <w:rsid w:val="00366334"/>
    <w:rsid w:val="0036724E"/>
    <w:rsid w:val="00367461"/>
    <w:rsid w:val="003709F8"/>
    <w:rsid w:val="003721F0"/>
    <w:rsid w:val="00376F8E"/>
    <w:rsid w:val="003779B1"/>
    <w:rsid w:val="00390EC4"/>
    <w:rsid w:val="0039121B"/>
    <w:rsid w:val="003A3B52"/>
    <w:rsid w:val="003B670C"/>
    <w:rsid w:val="003B7E57"/>
    <w:rsid w:val="003C6670"/>
    <w:rsid w:val="003D0304"/>
    <w:rsid w:val="003D33B4"/>
    <w:rsid w:val="003E0076"/>
    <w:rsid w:val="003E0A0D"/>
    <w:rsid w:val="003E137D"/>
    <w:rsid w:val="003E3985"/>
    <w:rsid w:val="003E5940"/>
    <w:rsid w:val="003E5F7F"/>
    <w:rsid w:val="003F6815"/>
    <w:rsid w:val="004001C3"/>
    <w:rsid w:val="00401CE7"/>
    <w:rsid w:val="00407148"/>
    <w:rsid w:val="00412DE5"/>
    <w:rsid w:val="00413C5F"/>
    <w:rsid w:val="00420279"/>
    <w:rsid w:val="004253DC"/>
    <w:rsid w:val="0042568B"/>
    <w:rsid w:val="00425EF1"/>
    <w:rsid w:val="00426515"/>
    <w:rsid w:val="004329EC"/>
    <w:rsid w:val="00433153"/>
    <w:rsid w:val="00441D9F"/>
    <w:rsid w:val="00442BA4"/>
    <w:rsid w:val="004452F8"/>
    <w:rsid w:val="00445335"/>
    <w:rsid w:val="0044644D"/>
    <w:rsid w:val="00447495"/>
    <w:rsid w:val="004602D7"/>
    <w:rsid w:val="00462354"/>
    <w:rsid w:val="00466185"/>
    <w:rsid w:val="00467BF1"/>
    <w:rsid w:val="00470C1B"/>
    <w:rsid w:val="0047238F"/>
    <w:rsid w:val="00476323"/>
    <w:rsid w:val="00480D67"/>
    <w:rsid w:val="004817C7"/>
    <w:rsid w:val="00491D61"/>
    <w:rsid w:val="0049438D"/>
    <w:rsid w:val="004A4E22"/>
    <w:rsid w:val="004A5774"/>
    <w:rsid w:val="004A6542"/>
    <w:rsid w:val="004A7507"/>
    <w:rsid w:val="004B19A3"/>
    <w:rsid w:val="004C0527"/>
    <w:rsid w:val="004C0717"/>
    <w:rsid w:val="004C3390"/>
    <w:rsid w:val="004C50E3"/>
    <w:rsid w:val="004C5560"/>
    <w:rsid w:val="004C6FDE"/>
    <w:rsid w:val="004C7A7C"/>
    <w:rsid w:val="004D6A3C"/>
    <w:rsid w:val="004D7190"/>
    <w:rsid w:val="004E1EDF"/>
    <w:rsid w:val="004E4BD9"/>
    <w:rsid w:val="004E56AB"/>
    <w:rsid w:val="004F18AE"/>
    <w:rsid w:val="004F5A73"/>
    <w:rsid w:val="004F624F"/>
    <w:rsid w:val="00501566"/>
    <w:rsid w:val="005068C9"/>
    <w:rsid w:val="00507864"/>
    <w:rsid w:val="005135A5"/>
    <w:rsid w:val="00514627"/>
    <w:rsid w:val="00517F28"/>
    <w:rsid w:val="00521A6E"/>
    <w:rsid w:val="00523C09"/>
    <w:rsid w:val="00526562"/>
    <w:rsid w:val="00530339"/>
    <w:rsid w:val="0053627A"/>
    <w:rsid w:val="00541591"/>
    <w:rsid w:val="00545919"/>
    <w:rsid w:val="00546481"/>
    <w:rsid w:val="00547C44"/>
    <w:rsid w:val="005542B7"/>
    <w:rsid w:val="00554C96"/>
    <w:rsid w:val="005552FD"/>
    <w:rsid w:val="00564D9C"/>
    <w:rsid w:val="0056529C"/>
    <w:rsid w:val="00566D49"/>
    <w:rsid w:val="00571D89"/>
    <w:rsid w:val="00572717"/>
    <w:rsid w:val="00576369"/>
    <w:rsid w:val="00576423"/>
    <w:rsid w:val="00595DD3"/>
    <w:rsid w:val="005A114A"/>
    <w:rsid w:val="005A1D27"/>
    <w:rsid w:val="005A342C"/>
    <w:rsid w:val="005A43DA"/>
    <w:rsid w:val="005A625C"/>
    <w:rsid w:val="005B0360"/>
    <w:rsid w:val="005B2591"/>
    <w:rsid w:val="005C273C"/>
    <w:rsid w:val="005C79A3"/>
    <w:rsid w:val="005D0351"/>
    <w:rsid w:val="005D7AEE"/>
    <w:rsid w:val="005F2715"/>
    <w:rsid w:val="005F748A"/>
    <w:rsid w:val="005F784A"/>
    <w:rsid w:val="0060038E"/>
    <w:rsid w:val="00600480"/>
    <w:rsid w:val="006046A3"/>
    <w:rsid w:val="0060686F"/>
    <w:rsid w:val="006101C4"/>
    <w:rsid w:val="0061338A"/>
    <w:rsid w:val="00620732"/>
    <w:rsid w:val="00621982"/>
    <w:rsid w:val="00622C8C"/>
    <w:rsid w:val="00624901"/>
    <w:rsid w:val="00631D94"/>
    <w:rsid w:val="00632D46"/>
    <w:rsid w:val="00636AE7"/>
    <w:rsid w:val="00636B9E"/>
    <w:rsid w:val="00637451"/>
    <w:rsid w:val="00642916"/>
    <w:rsid w:val="006463BD"/>
    <w:rsid w:val="006466EF"/>
    <w:rsid w:val="00652AEB"/>
    <w:rsid w:val="00654FFA"/>
    <w:rsid w:val="00655772"/>
    <w:rsid w:val="00663908"/>
    <w:rsid w:val="00663AF8"/>
    <w:rsid w:val="006658C4"/>
    <w:rsid w:val="0066728B"/>
    <w:rsid w:val="0067021D"/>
    <w:rsid w:val="0068256D"/>
    <w:rsid w:val="00684F6C"/>
    <w:rsid w:val="006914E6"/>
    <w:rsid w:val="0069178D"/>
    <w:rsid w:val="00694838"/>
    <w:rsid w:val="0069752A"/>
    <w:rsid w:val="00697EFB"/>
    <w:rsid w:val="006A0884"/>
    <w:rsid w:val="006A3D8A"/>
    <w:rsid w:val="006A5415"/>
    <w:rsid w:val="006A584D"/>
    <w:rsid w:val="006B187E"/>
    <w:rsid w:val="006B45AD"/>
    <w:rsid w:val="006B5E6D"/>
    <w:rsid w:val="006C1859"/>
    <w:rsid w:val="006C2AAA"/>
    <w:rsid w:val="006C6404"/>
    <w:rsid w:val="006C6CD5"/>
    <w:rsid w:val="006D1B52"/>
    <w:rsid w:val="006E5795"/>
    <w:rsid w:val="006F07F7"/>
    <w:rsid w:val="006F1A7A"/>
    <w:rsid w:val="006F1C09"/>
    <w:rsid w:val="006F21F8"/>
    <w:rsid w:val="006F3398"/>
    <w:rsid w:val="006F5F8B"/>
    <w:rsid w:val="00700981"/>
    <w:rsid w:val="00701F6B"/>
    <w:rsid w:val="00706EF1"/>
    <w:rsid w:val="00707239"/>
    <w:rsid w:val="00710724"/>
    <w:rsid w:val="0071105B"/>
    <w:rsid w:val="0071245C"/>
    <w:rsid w:val="00716200"/>
    <w:rsid w:val="00725E4E"/>
    <w:rsid w:val="0072714A"/>
    <w:rsid w:val="00732DD4"/>
    <w:rsid w:val="00734EA7"/>
    <w:rsid w:val="00740535"/>
    <w:rsid w:val="00741402"/>
    <w:rsid w:val="007427C8"/>
    <w:rsid w:val="00742EC9"/>
    <w:rsid w:val="00743504"/>
    <w:rsid w:val="00746AA3"/>
    <w:rsid w:val="007574BB"/>
    <w:rsid w:val="00760431"/>
    <w:rsid w:val="00760D89"/>
    <w:rsid w:val="00761262"/>
    <w:rsid w:val="00761464"/>
    <w:rsid w:val="0076149C"/>
    <w:rsid w:val="00766E83"/>
    <w:rsid w:val="00771386"/>
    <w:rsid w:val="00772227"/>
    <w:rsid w:val="00776EC1"/>
    <w:rsid w:val="007775CE"/>
    <w:rsid w:val="00785E3A"/>
    <w:rsid w:val="00786155"/>
    <w:rsid w:val="007869F8"/>
    <w:rsid w:val="00791C88"/>
    <w:rsid w:val="00792D04"/>
    <w:rsid w:val="007940FA"/>
    <w:rsid w:val="007945A0"/>
    <w:rsid w:val="00795882"/>
    <w:rsid w:val="0079746E"/>
    <w:rsid w:val="007A43BF"/>
    <w:rsid w:val="007A646E"/>
    <w:rsid w:val="007A6D0B"/>
    <w:rsid w:val="007B357F"/>
    <w:rsid w:val="007B75B3"/>
    <w:rsid w:val="007C4897"/>
    <w:rsid w:val="007C5205"/>
    <w:rsid w:val="007C5DEE"/>
    <w:rsid w:val="007C6DA0"/>
    <w:rsid w:val="007C71EC"/>
    <w:rsid w:val="007D210E"/>
    <w:rsid w:val="007D239B"/>
    <w:rsid w:val="007D3E88"/>
    <w:rsid w:val="007D4729"/>
    <w:rsid w:val="007D5946"/>
    <w:rsid w:val="007D6483"/>
    <w:rsid w:val="007E10ED"/>
    <w:rsid w:val="007E1FDF"/>
    <w:rsid w:val="007E4FF2"/>
    <w:rsid w:val="007E5A97"/>
    <w:rsid w:val="007E6D00"/>
    <w:rsid w:val="007E7587"/>
    <w:rsid w:val="007F0A7A"/>
    <w:rsid w:val="007F5BD3"/>
    <w:rsid w:val="0080524B"/>
    <w:rsid w:val="0080649F"/>
    <w:rsid w:val="00806EB6"/>
    <w:rsid w:val="00815455"/>
    <w:rsid w:val="00820601"/>
    <w:rsid w:val="008214C9"/>
    <w:rsid w:val="00823669"/>
    <w:rsid w:val="00824186"/>
    <w:rsid w:val="00833594"/>
    <w:rsid w:val="00834848"/>
    <w:rsid w:val="00837CB2"/>
    <w:rsid w:val="00846369"/>
    <w:rsid w:val="00846E60"/>
    <w:rsid w:val="00854054"/>
    <w:rsid w:val="00855224"/>
    <w:rsid w:val="00856D73"/>
    <w:rsid w:val="008613B8"/>
    <w:rsid w:val="00872202"/>
    <w:rsid w:val="008845CF"/>
    <w:rsid w:val="00893544"/>
    <w:rsid w:val="00896015"/>
    <w:rsid w:val="008965C6"/>
    <w:rsid w:val="008A2933"/>
    <w:rsid w:val="008A2A86"/>
    <w:rsid w:val="008B6484"/>
    <w:rsid w:val="008C153C"/>
    <w:rsid w:val="008C4CB0"/>
    <w:rsid w:val="008D2B3B"/>
    <w:rsid w:val="008D4A18"/>
    <w:rsid w:val="008E5077"/>
    <w:rsid w:val="008F135E"/>
    <w:rsid w:val="008F190D"/>
    <w:rsid w:val="008F2FED"/>
    <w:rsid w:val="008F357F"/>
    <w:rsid w:val="008F51A3"/>
    <w:rsid w:val="008F6CCD"/>
    <w:rsid w:val="008F7289"/>
    <w:rsid w:val="00901C60"/>
    <w:rsid w:val="00903914"/>
    <w:rsid w:val="00904988"/>
    <w:rsid w:val="00912E82"/>
    <w:rsid w:val="00914E12"/>
    <w:rsid w:val="009240EC"/>
    <w:rsid w:val="0092635B"/>
    <w:rsid w:val="009327EB"/>
    <w:rsid w:val="00941C51"/>
    <w:rsid w:val="009428C4"/>
    <w:rsid w:val="00947B35"/>
    <w:rsid w:val="00951C15"/>
    <w:rsid w:val="00951D6D"/>
    <w:rsid w:val="00962559"/>
    <w:rsid w:val="00962D0D"/>
    <w:rsid w:val="0096783D"/>
    <w:rsid w:val="00972FDB"/>
    <w:rsid w:val="0097473F"/>
    <w:rsid w:val="009832EB"/>
    <w:rsid w:val="009839F2"/>
    <w:rsid w:val="00983F39"/>
    <w:rsid w:val="009876FF"/>
    <w:rsid w:val="009878F6"/>
    <w:rsid w:val="00992384"/>
    <w:rsid w:val="00992B79"/>
    <w:rsid w:val="009933D2"/>
    <w:rsid w:val="009966C0"/>
    <w:rsid w:val="009A3453"/>
    <w:rsid w:val="009A4C31"/>
    <w:rsid w:val="009A601C"/>
    <w:rsid w:val="009B0164"/>
    <w:rsid w:val="009B06C3"/>
    <w:rsid w:val="009B577F"/>
    <w:rsid w:val="009C12A8"/>
    <w:rsid w:val="009C355E"/>
    <w:rsid w:val="009C7D58"/>
    <w:rsid w:val="009D1017"/>
    <w:rsid w:val="009D6CBC"/>
    <w:rsid w:val="009E3115"/>
    <w:rsid w:val="009E6599"/>
    <w:rsid w:val="009E6D3C"/>
    <w:rsid w:val="009E6E5A"/>
    <w:rsid w:val="009F01C4"/>
    <w:rsid w:val="009F0EB6"/>
    <w:rsid w:val="009F1443"/>
    <w:rsid w:val="009F29D2"/>
    <w:rsid w:val="009F5B75"/>
    <w:rsid w:val="009F6AC8"/>
    <w:rsid w:val="00A02016"/>
    <w:rsid w:val="00A021A3"/>
    <w:rsid w:val="00A02DBE"/>
    <w:rsid w:val="00A12D2C"/>
    <w:rsid w:val="00A2171B"/>
    <w:rsid w:val="00A22700"/>
    <w:rsid w:val="00A2718D"/>
    <w:rsid w:val="00A31065"/>
    <w:rsid w:val="00A33038"/>
    <w:rsid w:val="00A4259B"/>
    <w:rsid w:val="00A45462"/>
    <w:rsid w:val="00A45A6A"/>
    <w:rsid w:val="00A46E28"/>
    <w:rsid w:val="00A5059D"/>
    <w:rsid w:val="00A528FE"/>
    <w:rsid w:val="00A540B1"/>
    <w:rsid w:val="00A57BEB"/>
    <w:rsid w:val="00A60313"/>
    <w:rsid w:val="00A70ED5"/>
    <w:rsid w:val="00A776A8"/>
    <w:rsid w:val="00A82A19"/>
    <w:rsid w:val="00A84EBB"/>
    <w:rsid w:val="00A864BC"/>
    <w:rsid w:val="00A87637"/>
    <w:rsid w:val="00A91B0D"/>
    <w:rsid w:val="00A94F07"/>
    <w:rsid w:val="00A95584"/>
    <w:rsid w:val="00A959F6"/>
    <w:rsid w:val="00A97B1F"/>
    <w:rsid w:val="00AA2A8D"/>
    <w:rsid w:val="00AA37B3"/>
    <w:rsid w:val="00AA6CD2"/>
    <w:rsid w:val="00AA7436"/>
    <w:rsid w:val="00AB138D"/>
    <w:rsid w:val="00AB1C59"/>
    <w:rsid w:val="00AB2DF2"/>
    <w:rsid w:val="00AC4A60"/>
    <w:rsid w:val="00AC53EE"/>
    <w:rsid w:val="00AC5667"/>
    <w:rsid w:val="00AC6CC5"/>
    <w:rsid w:val="00AC6D55"/>
    <w:rsid w:val="00AD66E8"/>
    <w:rsid w:val="00AD75C8"/>
    <w:rsid w:val="00AE305F"/>
    <w:rsid w:val="00AE4E84"/>
    <w:rsid w:val="00AE5FE4"/>
    <w:rsid w:val="00AE65B9"/>
    <w:rsid w:val="00AE6A99"/>
    <w:rsid w:val="00AE7007"/>
    <w:rsid w:val="00AF00EF"/>
    <w:rsid w:val="00AF16FE"/>
    <w:rsid w:val="00AF273C"/>
    <w:rsid w:val="00AF29EF"/>
    <w:rsid w:val="00AF508C"/>
    <w:rsid w:val="00AF7E4F"/>
    <w:rsid w:val="00B078E0"/>
    <w:rsid w:val="00B114E7"/>
    <w:rsid w:val="00B14117"/>
    <w:rsid w:val="00B145C9"/>
    <w:rsid w:val="00B24B1C"/>
    <w:rsid w:val="00B37625"/>
    <w:rsid w:val="00B46DA5"/>
    <w:rsid w:val="00B65A11"/>
    <w:rsid w:val="00B722A5"/>
    <w:rsid w:val="00B74DA1"/>
    <w:rsid w:val="00B74DCE"/>
    <w:rsid w:val="00B759DE"/>
    <w:rsid w:val="00B816B6"/>
    <w:rsid w:val="00B81D10"/>
    <w:rsid w:val="00B83113"/>
    <w:rsid w:val="00B83EA0"/>
    <w:rsid w:val="00B84560"/>
    <w:rsid w:val="00B91518"/>
    <w:rsid w:val="00BA026C"/>
    <w:rsid w:val="00BA141A"/>
    <w:rsid w:val="00BB1399"/>
    <w:rsid w:val="00BB49BC"/>
    <w:rsid w:val="00BC1C76"/>
    <w:rsid w:val="00BD3B14"/>
    <w:rsid w:val="00BD5377"/>
    <w:rsid w:val="00BD61C4"/>
    <w:rsid w:val="00BE1A0E"/>
    <w:rsid w:val="00BE287E"/>
    <w:rsid w:val="00BE2D21"/>
    <w:rsid w:val="00BE57C6"/>
    <w:rsid w:val="00BE6EB8"/>
    <w:rsid w:val="00BE7A57"/>
    <w:rsid w:val="00BF353C"/>
    <w:rsid w:val="00BF6EED"/>
    <w:rsid w:val="00C02486"/>
    <w:rsid w:val="00C02CBF"/>
    <w:rsid w:val="00C03483"/>
    <w:rsid w:val="00C11E08"/>
    <w:rsid w:val="00C3070D"/>
    <w:rsid w:val="00C4314E"/>
    <w:rsid w:val="00C433C8"/>
    <w:rsid w:val="00C43C15"/>
    <w:rsid w:val="00C55849"/>
    <w:rsid w:val="00C60530"/>
    <w:rsid w:val="00C63190"/>
    <w:rsid w:val="00C63670"/>
    <w:rsid w:val="00C66697"/>
    <w:rsid w:val="00C67933"/>
    <w:rsid w:val="00C67CD4"/>
    <w:rsid w:val="00C718FB"/>
    <w:rsid w:val="00C71A0C"/>
    <w:rsid w:val="00C87656"/>
    <w:rsid w:val="00C92AEE"/>
    <w:rsid w:val="00C9337E"/>
    <w:rsid w:val="00CA599D"/>
    <w:rsid w:val="00CB1A06"/>
    <w:rsid w:val="00CB3FC4"/>
    <w:rsid w:val="00CC6EE3"/>
    <w:rsid w:val="00CC7410"/>
    <w:rsid w:val="00CD25CC"/>
    <w:rsid w:val="00CD710B"/>
    <w:rsid w:val="00CE1360"/>
    <w:rsid w:val="00CE3139"/>
    <w:rsid w:val="00CF06D5"/>
    <w:rsid w:val="00CF0C0B"/>
    <w:rsid w:val="00CF4BF8"/>
    <w:rsid w:val="00D116C2"/>
    <w:rsid w:val="00D12657"/>
    <w:rsid w:val="00D12A11"/>
    <w:rsid w:val="00D12E80"/>
    <w:rsid w:val="00D14388"/>
    <w:rsid w:val="00D15111"/>
    <w:rsid w:val="00D21FF3"/>
    <w:rsid w:val="00D224AF"/>
    <w:rsid w:val="00D313C7"/>
    <w:rsid w:val="00D34610"/>
    <w:rsid w:val="00D35962"/>
    <w:rsid w:val="00D422FC"/>
    <w:rsid w:val="00D42442"/>
    <w:rsid w:val="00D441FF"/>
    <w:rsid w:val="00D52DF7"/>
    <w:rsid w:val="00D5463D"/>
    <w:rsid w:val="00D602A9"/>
    <w:rsid w:val="00D614E5"/>
    <w:rsid w:val="00D6414E"/>
    <w:rsid w:val="00D83667"/>
    <w:rsid w:val="00D918B0"/>
    <w:rsid w:val="00DA500B"/>
    <w:rsid w:val="00DA5765"/>
    <w:rsid w:val="00DA594C"/>
    <w:rsid w:val="00DA76C5"/>
    <w:rsid w:val="00DA7891"/>
    <w:rsid w:val="00DB05ED"/>
    <w:rsid w:val="00DB3597"/>
    <w:rsid w:val="00DB6836"/>
    <w:rsid w:val="00DC1F2B"/>
    <w:rsid w:val="00DC3738"/>
    <w:rsid w:val="00DC5635"/>
    <w:rsid w:val="00DC6532"/>
    <w:rsid w:val="00DC6867"/>
    <w:rsid w:val="00DC6A5A"/>
    <w:rsid w:val="00DD2BE4"/>
    <w:rsid w:val="00DD3263"/>
    <w:rsid w:val="00DD3B48"/>
    <w:rsid w:val="00DE02F8"/>
    <w:rsid w:val="00DE2BCC"/>
    <w:rsid w:val="00DE35B5"/>
    <w:rsid w:val="00DE5479"/>
    <w:rsid w:val="00DF1B69"/>
    <w:rsid w:val="00DF7017"/>
    <w:rsid w:val="00E13057"/>
    <w:rsid w:val="00E14DEA"/>
    <w:rsid w:val="00E21254"/>
    <w:rsid w:val="00E23E5A"/>
    <w:rsid w:val="00E252AB"/>
    <w:rsid w:val="00E2553D"/>
    <w:rsid w:val="00E30078"/>
    <w:rsid w:val="00E31710"/>
    <w:rsid w:val="00E34788"/>
    <w:rsid w:val="00E365EC"/>
    <w:rsid w:val="00E3773A"/>
    <w:rsid w:val="00E4269B"/>
    <w:rsid w:val="00E61501"/>
    <w:rsid w:val="00E61781"/>
    <w:rsid w:val="00E62CC1"/>
    <w:rsid w:val="00E62FF6"/>
    <w:rsid w:val="00E66497"/>
    <w:rsid w:val="00E67BB7"/>
    <w:rsid w:val="00E70549"/>
    <w:rsid w:val="00E7179B"/>
    <w:rsid w:val="00E74B27"/>
    <w:rsid w:val="00E75C2E"/>
    <w:rsid w:val="00E84E96"/>
    <w:rsid w:val="00E87128"/>
    <w:rsid w:val="00E87685"/>
    <w:rsid w:val="00E87C3F"/>
    <w:rsid w:val="00E938A0"/>
    <w:rsid w:val="00E95870"/>
    <w:rsid w:val="00E97BA2"/>
    <w:rsid w:val="00EA18A6"/>
    <w:rsid w:val="00EA2B2F"/>
    <w:rsid w:val="00EA4EC8"/>
    <w:rsid w:val="00EA567A"/>
    <w:rsid w:val="00EA6679"/>
    <w:rsid w:val="00EA67BA"/>
    <w:rsid w:val="00EB308D"/>
    <w:rsid w:val="00EB3474"/>
    <w:rsid w:val="00EB3D4C"/>
    <w:rsid w:val="00EC02D9"/>
    <w:rsid w:val="00EC3BFE"/>
    <w:rsid w:val="00ED06E7"/>
    <w:rsid w:val="00ED2A76"/>
    <w:rsid w:val="00ED38C7"/>
    <w:rsid w:val="00ED391F"/>
    <w:rsid w:val="00ED4F64"/>
    <w:rsid w:val="00ED6686"/>
    <w:rsid w:val="00EE06A0"/>
    <w:rsid w:val="00EE226A"/>
    <w:rsid w:val="00EE559A"/>
    <w:rsid w:val="00EE6031"/>
    <w:rsid w:val="00EE69A4"/>
    <w:rsid w:val="00F1470A"/>
    <w:rsid w:val="00F1494E"/>
    <w:rsid w:val="00F210AA"/>
    <w:rsid w:val="00F24908"/>
    <w:rsid w:val="00F31B0D"/>
    <w:rsid w:val="00F32017"/>
    <w:rsid w:val="00F32508"/>
    <w:rsid w:val="00F325B1"/>
    <w:rsid w:val="00F37B9F"/>
    <w:rsid w:val="00F41DD3"/>
    <w:rsid w:val="00F47359"/>
    <w:rsid w:val="00F63C52"/>
    <w:rsid w:val="00F652AD"/>
    <w:rsid w:val="00F74D62"/>
    <w:rsid w:val="00F77691"/>
    <w:rsid w:val="00F813B1"/>
    <w:rsid w:val="00F81A9D"/>
    <w:rsid w:val="00F829CE"/>
    <w:rsid w:val="00F849D2"/>
    <w:rsid w:val="00F91119"/>
    <w:rsid w:val="00F961CE"/>
    <w:rsid w:val="00FA039E"/>
    <w:rsid w:val="00FA1345"/>
    <w:rsid w:val="00FA142C"/>
    <w:rsid w:val="00FA5AB9"/>
    <w:rsid w:val="00FB770A"/>
    <w:rsid w:val="00FB77BD"/>
    <w:rsid w:val="00FB792A"/>
    <w:rsid w:val="00FC0179"/>
    <w:rsid w:val="00FD03E2"/>
    <w:rsid w:val="00FD3183"/>
    <w:rsid w:val="00FD7EE6"/>
    <w:rsid w:val="00FE34D2"/>
    <w:rsid w:val="00FE669A"/>
    <w:rsid w:val="00FE6A08"/>
    <w:rsid w:val="00FF1E5C"/>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3554">
      <o:colormru v:ext="edit" colors="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CEGAIP"/>
    <w:rsid w:val="00547C44"/>
    <w:pPr>
      <w:spacing w:after="0" w:line="360" w:lineRule="auto"/>
      <w:jc w:val="both"/>
    </w:pPr>
    <w:rPr>
      <w:rFonts w:cs="Times New Roman"/>
      <w:sz w:val="26"/>
      <w:szCs w:val="24"/>
      <w:lang w:val="es-ES" w:eastAsia="es-ES"/>
    </w:rPr>
  </w:style>
  <w:style w:type="paragraph" w:styleId="Ttulo1">
    <w:name w:val="heading 1"/>
    <w:aliases w:val="cita"/>
    <w:basedOn w:val="Normal"/>
    <w:next w:val="Normal"/>
    <w:link w:val="Ttulo1Car"/>
    <w:autoRedefine/>
    <w:qFormat/>
    <w:rsid w:val="005B2591"/>
    <w:pPr>
      <w:keepNext/>
      <w:outlineLvl w:val="0"/>
    </w:pPr>
    <w:rPr>
      <w:rFonts w:cs="Arial"/>
      <w:bCs/>
      <w:i/>
      <w:kern w:val="32"/>
      <w:sz w:val="2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ita Car"/>
    <w:basedOn w:val="Fuentedeprrafopredeter"/>
    <w:link w:val="Ttulo1"/>
    <w:rsid w:val="005B2591"/>
    <w:rPr>
      <w:rFonts w:eastAsia="Times New Roman" w:cs="Arial"/>
      <w:bCs/>
      <w:i/>
      <w:kern w:val="32"/>
      <w:szCs w:val="32"/>
      <w:lang w:val="es-ES" w:eastAsia="es-ES"/>
    </w:rPr>
  </w:style>
  <w:style w:type="table" w:styleId="Tablaconcuadrcula">
    <w:name w:val="Table Grid"/>
    <w:basedOn w:val="Tablanormal"/>
    <w:uiPriority w:val="59"/>
    <w:rsid w:val="00547C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independiente">
    <w:name w:val="Body Text"/>
    <w:basedOn w:val="Normal"/>
    <w:link w:val="TextoindependienteCar"/>
    <w:uiPriority w:val="99"/>
    <w:semiHidden/>
    <w:unhideWhenUsed/>
    <w:rsid w:val="00547C44"/>
    <w:pPr>
      <w:spacing w:after="120"/>
    </w:pPr>
  </w:style>
  <w:style w:type="character" w:customStyle="1" w:styleId="TextoindependienteCar">
    <w:name w:val="Texto independiente Car"/>
    <w:basedOn w:val="Fuentedeprrafopredeter"/>
    <w:link w:val="Textoindependiente"/>
    <w:uiPriority w:val="99"/>
    <w:semiHidden/>
    <w:rsid w:val="00547C44"/>
    <w:rPr>
      <w:rFonts w:cs="Times New Roman"/>
      <w:sz w:val="26"/>
      <w:szCs w:val="24"/>
      <w:lang w:val="es-ES" w:eastAsia="es-ES"/>
    </w:rPr>
  </w:style>
  <w:style w:type="paragraph" w:styleId="Textoindependienteprimerasangra">
    <w:name w:val="Body Text First Indent"/>
    <w:basedOn w:val="Textoindependiente"/>
    <w:link w:val="TextoindependienteprimerasangraCar"/>
    <w:rsid w:val="00547C44"/>
    <w:pPr>
      <w:ind w:firstLine="210"/>
    </w:pPr>
  </w:style>
  <w:style w:type="character" w:customStyle="1" w:styleId="TextoindependienteprimerasangraCar">
    <w:name w:val="Texto independiente primera sangría Car"/>
    <w:basedOn w:val="TextoindependienteCar"/>
    <w:link w:val="Textoindependienteprimerasangra"/>
    <w:rsid w:val="00547C44"/>
    <w:rPr>
      <w:rFonts w:cs="Times New Roman"/>
      <w:sz w:val="26"/>
      <w:szCs w:val="24"/>
      <w:lang w:val="es-ES" w:eastAsia="es-ES"/>
    </w:rPr>
  </w:style>
  <w:style w:type="paragraph" w:styleId="Prrafodelista">
    <w:name w:val="List Paragraph"/>
    <w:basedOn w:val="Normal"/>
    <w:uiPriority w:val="34"/>
    <w:qFormat/>
    <w:rsid w:val="00547C44"/>
    <w:pPr>
      <w:ind w:left="720"/>
      <w:contextualSpacing/>
    </w:pPr>
  </w:style>
  <w:style w:type="character" w:styleId="Hipervnculo">
    <w:name w:val="Hyperlink"/>
    <w:basedOn w:val="Fuentedeprrafopredeter"/>
    <w:uiPriority w:val="99"/>
    <w:unhideWhenUsed/>
    <w:rsid w:val="00547C44"/>
    <w:rPr>
      <w:color w:val="0000FF" w:themeColor="hyperlink"/>
      <w:u w:val="single"/>
    </w:rPr>
  </w:style>
  <w:style w:type="paragraph" w:styleId="NormalWeb">
    <w:name w:val="Normal (Web)"/>
    <w:basedOn w:val="Normal"/>
    <w:uiPriority w:val="99"/>
    <w:rsid w:val="00190533"/>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190533"/>
    <w:pPr>
      <w:spacing w:before="100" w:beforeAutospacing="1" w:after="100" w:afterAutospacing="1" w:line="240" w:lineRule="auto"/>
      <w:jc w:val="left"/>
    </w:pPr>
    <w:rPr>
      <w:rFonts w:ascii="Times New Roman" w:hAnsi="Times New Roman"/>
      <w:sz w:val="24"/>
      <w:lang w:val="es-MX" w:eastAsia="es-MX"/>
    </w:rPr>
  </w:style>
  <w:style w:type="character" w:customStyle="1" w:styleId="apple-converted-space">
    <w:name w:val="apple-converted-space"/>
    <w:basedOn w:val="Fuentedeprrafopredeter"/>
    <w:rsid w:val="00190533"/>
  </w:style>
  <w:style w:type="paragraph" w:styleId="Encabezado">
    <w:name w:val="header"/>
    <w:basedOn w:val="Normal"/>
    <w:link w:val="EncabezadoCar"/>
    <w:uiPriority w:val="99"/>
    <w:unhideWhenUsed/>
    <w:rsid w:val="00EE69A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E69A4"/>
    <w:rPr>
      <w:rFonts w:cs="Times New Roman"/>
      <w:sz w:val="26"/>
      <w:szCs w:val="24"/>
      <w:lang w:val="es-ES" w:eastAsia="es-ES"/>
    </w:rPr>
  </w:style>
  <w:style w:type="paragraph" w:styleId="Piedepgina">
    <w:name w:val="footer"/>
    <w:basedOn w:val="Normal"/>
    <w:link w:val="PiedepginaCar"/>
    <w:uiPriority w:val="99"/>
    <w:unhideWhenUsed/>
    <w:rsid w:val="00EE69A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E69A4"/>
    <w:rPr>
      <w:rFonts w:cs="Times New Roman"/>
      <w:sz w:val="26"/>
      <w:szCs w:val="24"/>
      <w:lang w:val="es-ES" w:eastAsia="es-ES"/>
    </w:rPr>
  </w:style>
  <w:style w:type="paragraph" w:styleId="Textodeglobo">
    <w:name w:val="Balloon Text"/>
    <w:basedOn w:val="Normal"/>
    <w:link w:val="TextodegloboCar"/>
    <w:uiPriority w:val="99"/>
    <w:semiHidden/>
    <w:unhideWhenUsed/>
    <w:rsid w:val="004C50E3"/>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C50E3"/>
    <w:rPr>
      <w:rFonts w:ascii="Tahoma" w:hAnsi="Tahoma" w:cs="Tahoma"/>
      <w:sz w:val="16"/>
      <w:szCs w:val="16"/>
      <w:lang w:val="es-ES" w:eastAsia="es-ES"/>
    </w:rPr>
  </w:style>
  <w:style w:type="paragraph" w:customStyle="1" w:styleId="Default">
    <w:name w:val="Default"/>
    <w:rsid w:val="006C1859"/>
    <w:pPr>
      <w:autoSpaceDE w:val="0"/>
      <w:autoSpaceDN w:val="0"/>
      <w:adjustRightInd w:val="0"/>
      <w:spacing w:after="0" w:line="240" w:lineRule="auto"/>
    </w:pPr>
    <w:rPr>
      <w:rFonts w:ascii="Arial" w:hAnsi="Arial" w:cs="Arial"/>
      <w:color w:val="000000"/>
      <w:sz w:val="24"/>
      <w:szCs w:val="24"/>
    </w:rPr>
  </w:style>
  <w:style w:type="paragraph" w:styleId="Mapadeldocumento">
    <w:name w:val="Document Map"/>
    <w:basedOn w:val="Normal"/>
    <w:link w:val="MapadeldocumentoCar"/>
    <w:uiPriority w:val="99"/>
    <w:semiHidden/>
    <w:unhideWhenUsed/>
    <w:rsid w:val="009428C4"/>
    <w:pPr>
      <w:spacing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9428C4"/>
    <w:rPr>
      <w:rFonts w:ascii="Tahoma" w:hAnsi="Tahoma" w:cs="Tahoma"/>
      <w:sz w:val="16"/>
      <w:szCs w:val="16"/>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nhideWhenUsed/>
    <w:rsid w:val="000251CB"/>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rsid w:val="000251CB"/>
    <w:rPr>
      <w:rFonts w:cs="Times New Roman"/>
      <w:sz w:val="20"/>
      <w:szCs w:val="20"/>
      <w:lang w:val="es-ES" w:eastAsia="es-E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
    <w:basedOn w:val="Fuentedeprrafopredeter"/>
    <w:unhideWhenUsed/>
    <w:rsid w:val="000251CB"/>
    <w:rPr>
      <w:vertAlign w:val="superscript"/>
    </w:rPr>
  </w:style>
  <w:style w:type="character" w:customStyle="1" w:styleId="UnresolvedMention">
    <w:name w:val="Unresolved Mention"/>
    <w:basedOn w:val="Fuentedeprrafopredeter"/>
    <w:uiPriority w:val="99"/>
    <w:semiHidden/>
    <w:unhideWhenUsed/>
    <w:rsid w:val="00306F3A"/>
    <w:rPr>
      <w:color w:val="808080"/>
      <w:shd w:val="clear" w:color="auto" w:fill="E6E6E6"/>
    </w:rPr>
  </w:style>
  <w:style w:type="paragraph" w:styleId="Sinespaciado">
    <w:name w:val="No Spacing"/>
    <w:uiPriority w:val="1"/>
    <w:qFormat/>
    <w:rsid w:val="00541591"/>
    <w:pPr>
      <w:spacing w:after="0" w:line="240" w:lineRule="auto"/>
    </w:pPr>
    <w:rPr>
      <w:rFonts w:ascii="Times New Roman" w:hAnsi="Times New Roman" w:cs="Times New Roman"/>
      <w:sz w:val="24"/>
      <w:szCs w:val="24"/>
      <w:lang w:val="es-ES" w:eastAsia="es-ES"/>
    </w:rPr>
  </w:style>
  <w:style w:type="table" w:customStyle="1" w:styleId="GridTable1Light">
    <w:name w:val="Grid Table 1 Light"/>
    <w:basedOn w:val="Tablanormal"/>
    <w:uiPriority w:val="46"/>
    <w:rsid w:val="00541591"/>
    <w:pPr>
      <w:spacing w:after="0" w:line="240" w:lineRule="auto"/>
    </w:pPr>
    <w:rPr>
      <w:rFonts w:eastAsiaTheme="minorHAnsi"/>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r="http://schemas.openxmlformats.org/officeDocument/2006/relationships" xmlns:w="http://schemas.openxmlformats.org/wordprocessingml/2006/main">
  <w:divs>
    <w:div w:id="67114655">
      <w:bodyDiv w:val="1"/>
      <w:marLeft w:val="0"/>
      <w:marRight w:val="0"/>
      <w:marTop w:val="0"/>
      <w:marBottom w:val="0"/>
      <w:divBdr>
        <w:top w:val="none" w:sz="0" w:space="0" w:color="auto"/>
        <w:left w:val="none" w:sz="0" w:space="0" w:color="auto"/>
        <w:bottom w:val="none" w:sz="0" w:space="0" w:color="auto"/>
        <w:right w:val="none" w:sz="0" w:space="0" w:color="auto"/>
      </w:divBdr>
      <w:divsChild>
        <w:div w:id="1913999222">
          <w:marLeft w:val="547"/>
          <w:marRight w:val="0"/>
          <w:marTop w:val="0"/>
          <w:marBottom w:val="0"/>
          <w:divBdr>
            <w:top w:val="none" w:sz="0" w:space="0" w:color="auto"/>
            <w:left w:val="none" w:sz="0" w:space="0" w:color="auto"/>
            <w:bottom w:val="none" w:sz="0" w:space="0" w:color="auto"/>
            <w:right w:val="none" w:sz="0" w:space="0" w:color="auto"/>
          </w:divBdr>
        </w:div>
      </w:divsChild>
    </w:div>
    <w:div w:id="83764924">
      <w:bodyDiv w:val="1"/>
      <w:marLeft w:val="0"/>
      <w:marRight w:val="0"/>
      <w:marTop w:val="0"/>
      <w:marBottom w:val="0"/>
      <w:divBdr>
        <w:top w:val="none" w:sz="0" w:space="0" w:color="auto"/>
        <w:left w:val="none" w:sz="0" w:space="0" w:color="auto"/>
        <w:bottom w:val="none" w:sz="0" w:space="0" w:color="auto"/>
        <w:right w:val="none" w:sz="0" w:space="0" w:color="auto"/>
      </w:divBdr>
    </w:div>
    <w:div w:id="126170314">
      <w:bodyDiv w:val="1"/>
      <w:marLeft w:val="0"/>
      <w:marRight w:val="0"/>
      <w:marTop w:val="0"/>
      <w:marBottom w:val="0"/>
      <w:divBdr>
        <w:top w:val="none" w:sz="0" w:space="0" w:color="auto"/>
        <w:left w:val="none" w:sz="0" w:space="0" w:color="auto"/>
        <w:bottom w:val="none" w:sz="0" w:space="0" w:color="auto"/>
        <w:right w:val="none" w:sz="0" w:space="0" w:color="auto"/>
      </w:divBdr>
      <w:divsChild>
        <w:div w:id="1029915736">
          <w:marLeft w:val="547"/>
          <w:marRight w:val="0"/>
          <w:marTop w:val="0"/>
          <w:marBottom w:val="0"/>
          <w:divBdr>
            <w:top w:val="none" w:sz="0" w:space="0" w:color="auto"/>
            <w:left w:val="none" w:sz="0" w:space="0" w:color="auto"/>
            <w:bottom w:val="none" w:sz="0" w:space="0" w:color="auto"/>
            <w:right w:val="none" w:sz="0" w:space="0" w:color="auto"/>
          </w:divBdr>
        </w:div>
      </w:divsChild>
    </w:div>
    <w:div w:id="180241026">
      <w:bodyDiv w:val="1"/>
      <w:marLeft w:val="0"/>
      <w:marRight w:val="0"/>
      <w:marTop w:val="0"/>
      <w:marBottom w:val="0"/>
      <w:divBdr>
        <w:top w:val="none" w:sz="0" w:space="0" w:color="auto"/>
        <w:left w:val="none" w:sz="0" w:space="0" w:color="auto"/>
        <w:bottom w:val="none" w:sz="0" w:space="0" w:color="auto"/>
        <w:right w:val="none" w:sz="0" w:space="0" w:color="auto"/>
      </w:divBdr>
    </w:div>
    <w:div w:id="450512536">
      <w:bodyDiv w:val="1"/>
      <w:marLeft w:val="0"/>
      <w:marRight w:val="0"/>
      <w:marTop w:val="0"/>
      <w:marBottom w:val="0"/>
      <w:divBdr>
        <w:top w:val="none" w:sz="0" w:space="0" w:color="auto"/>
        <w:left w:val="none" w:sz="0" w:space="0" w:color="auto"/>
        <w:bottom w:val="none" w:sz="0" w:space="0" w:color="auto"/>
        <w:right w:val="none" w:sz="0" w:space="0" w:color="auto"/>
      </w:divBdr>
    </w:div>
    <w:div w:id="583271559">
      <w:bodyDiv w:val="1"/>
      <w:marLeft w:val="0"/>
      <w:marRight w:val="0"/>
      <w:marTop w:val="0"/>
      <w:marBottom w:val="0"/>
      <w:divBdr>
        <w:top w:val="none" w:sz="0" w:space="0" w:color="auto"/>
        <w:left w:val="none" w:sz="0" w:space="0" w:color="auto"/>
        <w:bottom w:val="none" w:sz="0" w:space="0" w:color="auto"/>
        <w:right w:val="none" w:sz="0" w:space="0" w:color="auto"/>
      </w:divBdr>
    </w:div>
    <w:div w:id="594485260">
      <w:bodyDiv w:val="1"/>
      <w:marLeft w:val="0"/>
      <w:marRight w:val="0"/>
      <w:marTop w:val="0"/>
      <w:marBottom w:val="0"/>
      <w:divBdr>
        <w:top w:val="none" w:sz="0" w:space="0" w:color="auto"/>
        <w:left w:val="none" w:sz="0" w:space="0" w:color="auto"/>
        <w:bottom w:val="none" w:sz="0" w:space="0" w:color="auto"/>
        <w:right w:val="none" w:sz="0" w:space="0" w:color="auto"/>
      </w:divBdr>
    </w:div>
    <w:div w:id="820926903">
      <w:bodyDiv w:val="1"/>
      <w:marLeft w:val="0"/>
      <w:marRight w:val="0"/>
      <w:marTop w:val="0"/>
      <w:marBottom w:val="0"/>
      <w:divBdr>
        <w:top w:val="none" w:sz="0" w:space="0" w:color="auto"/>
        <w:left w:val="none" w:sz="0" w:space="0" w:color="auto"/>
        <w:bottom w:val="none" w:sz="0" w:space="0" w:color="auto"/>
        <w:right w:val="none" w:sz="0" w:space="0" w:color="auto"/>
      </w:divBdr>
    </w:div>
    <w:div w:id="890268688">
      <w:bodyDiv w:val="1"/>
      <w:marLeft w:val="0"/>
      <w:marRight w:val="0"/>
      <w:marTop w:val="0"/>
      <w:marBottom w:val="0"/>
      <w:divBdr>
        <w:top w:val="none" w:sz="0" w:space="0" w:color="auto"/>
        <w:left w:val="none" w:sz="0" w:space="0" w:color="auto"/>
        <w:bottom w:val="none" w:sz="0" w:space="0" w:color="auto"/>
        <w:right w:val="none" w:sz="0" w:space="0" w:color="auto"/>
      </w:divBdr>
    </w:div>
    <w:div w:id="1294754298">
      <w:bodyDiv w:val="1"/>
      <w:marLeft w:val="0"/>
      <w:marRight w:val="0"/>
      <w:marTop w:val="0"/>
      <w:marBottom w:val="0"/>
      <w:divBdr>
        <w:top w:val="none" w:sz="0" w:space="0" w:color="auto"/>
        <w:left w:val="none" w:sz="0" w:space="0" w:color="auto"/>
        <w:bottom w:val="none" w:sz="0" w:space="0" w:color="auto"/>
        <w:right w:val="none" w:sz="0" w:space="0" w:color="auto"/>
      </w:divBdr>
    </w:div>
    <w:div w:id="1680617571">
      <w:bodyDiv w:val="1"/>
      <w:marLeft w:val="0"/>
      <w:marRight w:val="0"/>
      <w:marTop w:val="0"/>
      <w:marBottom w:val="0"/>
      <w:divBdr>
        <w:top w:val="none" w:sz="0" w:space="0" w:color="auto"/>
        <w:left w:val="none" w:sz="0" w:space="0" w:color="auto"/>
        <w:bottom w:val="none" w:sz="0" w:space="0" w:color="auto"/>
        <w:right w:val="none" w:sz="0" w:space="0" w:color="auto"/>
      </w:divBdr>
    </w:div>
    <w:div w:id="1977565254">
      <w:bodyDiv w:val="1"/>
      <w:marLeft w:val="0"/>
      <w:marRight w:val="0"/>
      <w:marTop w:val="0"/>
      <w:marBottom w:val="0"/>
      <w:divBdr>
        <w:top w:val="none" w:sz="0" w:space="0" w:color="auto"/>
        <w:left w:val="none" w:sz="0" w:space="0" w:color="auto"/>
        <w:bottom w:val="none" w:sz="0" w:space="0" w:color="auto"/>
        <w:right w:val="none" w:sz="0" w:space="0" w:color="auto"/>
      </w:divBdr>
    </w:div>
    <w:div w:id="1986079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AbrirModal(2)"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javascript:AbrirModal(1)" TargetMode="External"/><Relationship Id="rId4" Type="http://schemas.openxmlformats.org/officeDocument/2006/relationships/settings" Target="settings.xml"/><Relationship Id="rId9" Type="http://schemas.openxmlformats.org/officeDocument/2006/relationships/hyperlink" Target="http://200.38.163.178/sjfsist/(F(5dNDcC0oMytMU-sSj29gyrcjWbWMcqc1Z_gSWfoYqUWrTHZoaSYLl8_tC5MvotqOSc9ziDl6ur5ia3UFsMdIi3h8dq9j221F4_TC-cDnwLdYgJGcU6suX8lweL7BTFci6rg89tZmXfh_jUNa9haiOuio5ms98-ASi-RAU2E3TA81))/Paginas/DetalleGeneralV2.aspx?id=169574&amp;Clase=DetalleTesisBL" TargetMode="External"/><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E5A63B-4014-4C0B-AB0F-E4C4F49B5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5366</Words>
  <Characters>29518</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Servicio social</cp:lastModifiedBy>
  <cp:revision>3</cp:revision>
  <cp:lastPrinted>2018-04-12T18:00:00Z</cp:lastPrinted>
  <dcterms:created xsi:type="dcterms:W3CDTF">2018-04-09T16:11:00Z</dcterms:created>
  <dcterms:modified xsi:type="dcterms:W3CDTF">2018-04-12T18:01:00Z</dcterms:modified>
</cp:coreProperties>
</file>